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50CC8" w14:textId="2758AB80" w:rsidR="00852CD2" w:rsidRPr="00DE329E" w:rsidRDefault="002F5E8B" w:rsidP="00852CD2">
      <w:pPr>
        <w:pStyle w:val="BodyText3"/>
        <w:jc w:val="center"/>
        <w:rPr>
          <w:b w:val="0"/>
          <w:sz w:val="26"/>
          <w:szCs w:val="26"/>
        </w:rPr>
      </w:pPr>
      <w:bookmarkStart w:id="0" w:name="OLE_LINK1"/>
      <w:bookmarkStart w:id="1" w:name="OLE_LINK2"/>
      <w:r w:rsidRPr="00DE329E">
        <w:rPr>
          <w:bCs/>
          <w:i w:val="0"/>
          <w:sz w:val="26"/>
          <w:szCs w:val="26"/>
        </w:rPr>
        <w:t>N</w:t>
      </w:r>
      <w:r w:rsidR="002B5BA9" w:rsidRPr="00DE329E">
        <w:rPr>
          <w:bCs/>
          <w:i w:val="0"/>
          <w:sz w:val="26"/>
          <w:szCs w:val="26"/>
        </w:rPr>
        <w:t xml:space="preserve">oteikumu </w:t>
      </w:r>
      <w:r w:rsidR="00C4534E" w:rsidRPr="00DE329E">
        <w:rPr>
          <w:bCs/>
          <w:i w:val="0"/>
          <w:sz w:val="26"/>
          <w:szCs w:val="26"/>
        </w:rPr>
        <w:t xml:space="preserve">projekta </w:t>
      </w:r>
      <w:r w:rsidR="00711F5C">
        <w:rPr>
          <w:bCs/>
          <w:i w:val="0"/>
          <w:sz w:val="26"/>
          <w:szCs w:val="26"/>
        </w:rPr>
        <w:t>"</w:t>
      </w:r>
      <w:r w:rsidR="00852CD2" w:rsidRPr="00DE329E">
        <w:rPr>
          <w:bCs/>
          <w:i w:val="0"/>
          <w:sz w:val="26"/>
          <w:szCs w:val="26"/>
        </w:rPr>
        <w:t xml:space="preserve">Grozījumi </w:t>
      </w:r>
      <w:r w:rsidR="002F3A46" w:rsidRPr="00DE329E">
        <w:rPr>
          <w:i w:val="0"/>
          <w:sz w:val="26"/>
          <w:szCs w:val="26"/>
        </w:rPr>
        <w:t>Ministru kabineta 2015.</w:t>
      </w:r>
      <w:r w:rsidR="00DD413F" w:rsidRPr="00DE329E">
        <w:rPr>
          <w:i w:val="0"/>
          <w:sz w:val="26"/>
          <w:szCs w:val="26"/>
        </w:rPr>
        <w:t> </w:t>
      </w:r>
      <w:r w:rsidR="002F3A46" w:rsidRPr="00DE329E">
        <w:rPr>
          <w:i w:val="0"/>
          <w:sz w:val="26"/>
          <w:szCs w:val="26"/>
        </w:rPr>
        <w:t>gada 14.</w:t>
      </w:r>
      <w:r w:rsidR="00DD413F" w:rsidRPr="00DE329E">
        <w:rPr>
          <w:i w:val="0"/>
          <w:sz w:val="26"/>
          <w:szCs w:val="26"/>
        </w:rPr>
        <w:t> </w:t>
      </w:r>
      <w:r w:rsidR="002F3A46" w:rsidRPr="00DE329E">
        <w:rPr>
          <w:i w:val="0"/>
          <w:sz w:val="26"/>
          <w:szCs w:val="26"/>
        </w:rPr>
        <w:t>jūlija noteikumos Nr.</w:t>
      </w:r>
      <w:r w:rsidR="00DD413F" w:rsidRPr="00DE329E">
        <w:rPr>
          <w:i w:val="0"/>
          <w:sz w:val="26"/>
          <w:szCs w:val="26"/>
        </w:rPr>
        <w:t> </w:t>
      </w:r>
      <w:r w:rsidR="002F3A46" w:rsidRPr="00DE329E">
        <w:rPr>
          <w:i w:val="0"/>
          <w:sz w:val="26"/>
          <w:szCs w:val="26"/>
        </w:rPr>
        <w:t xml:space="preserve">389 </w:t>
      </w:r>
      <w:r w:rsidR="00711F5C">
        <w:rPr>
          <w:i w:val="0"/>
          <w:sz w:val="26"/>
          <w:szCs w:val="26"/>
        </w:rPr>
        <w:t>"</w:t>
      </w:r>
      <w:r w:rsidR="002F3A46" w:rsidRPr="00DE329E">
        <w:rPr>
          <w:i w:val="0"/>
          <w:sz w:val="26"/>
          <w:szCs w:val="26"/>
        </w:rPr>
        <w:t xml:space="preserve">Darbības programmas </w:t>
      </w:r>
      <w:r w:rsidR="00711F5C">
        <w:rPr>
          <w:i w:val="0"/>
          <w:sz w:val="26"/>
          <w:szCs w:val="26"/>
        </w:rPr>
        <w:t>"</w:t>
      </w:r>
      <w:r w:rsidR="002F3A46" w:rsidRPr="00DE329E">
        <w:rPr>
          <w:i w:val="0"/>
          <w:sz w:val="26"/>
          <w:szCs w:val="26"/>
        </w:rPr>
        <w:t>Izaugsme un nodarbinātība</w:t>
      </w:r>
      <w:r w:rsidR="00711F5C">
        <w:rPr>
          <w:i w:val="0"/>
          <w:sz w:val="26"/>
          <w:szCs w:val="26"/>
        </w:rPr>
        <w:t>"</w:t>
      </w:r>
      <w:r w:rsidR="002F3A46" w:rsidRPr="00DE329E">
        <w:rPr>
          <w:i w:val="0"/>
          <w:sz w:val="26"/>
          <w:szCs w:val="26"/>
        </w:rPr>
        <w:t xml:space="preserve"> 3.4.2.</w:t>
      </w:r>
      <w:r w:rsidRPr="00DE329E">
        <w:rPr>
          <w:i w:val="0"/>
          <w:sz w:val="26"/>
          <w:szCs w:val="26"/>
        </w:rPr>
        <w:t> </w:t>
      </w:r>
      <w:r w:rsidR="002F3A46" w:rsidRPr="00DE329E">
        <w:rPr>
          <w:i w:val="0"/>
          <w:sz w:val="26"/>
          <w:szCs w:val="26"/>
        </w:rPr>
        <w:t xml:space="preserve">specifiskā atbalsta mērķa </w:t>
      </w:r>
      <w:r w:rsidR="00711F5C">
        <w:rPr>
          <w:i w:val="0"/>
          <w:sz w:val="26"/>
          <w:szCs w:val="26"/>
        </w:rPr>
        <w:t>"</w:t>
      </w:r>
      <w:r w:rsidR="00EB3C5D" w:rsidRPr="00DE329E">
        <w:rPr>
          <w:i w:val="0"/>
          <w:sz w:val="26"/>
          <w:szCs w:val="26"/>
        </w:rPr>
        <w:t>Valsts pārvaldes profesionālā pilnveide un sociālā dialoga attīstība labāka tiesiskā regulējuma izstrādē mazo un vidējo komersantu atbalsta, korupcijas novēršanas un ēnu ekonomikas mazināšanas jomās</w:t>
      </w:r>
      <w:r w:rsidR="00711F5C">
        <w:rPr>
          <w:i w:val="0"/>
          <w:sz w:val="26"/>
          <w:szCs w:val="26"/>
        </w:rPr>
        <w:t>"</w:t>
      </w:r>
      <w:r w:rsidRPr="00DE329E">
        <w:rPr>
          <w:i w:val="0"/>
          <w:sz w:val="26"/>
          <w:szCs w:val="26"/>
        </w:rPr>
        <w:t xml:space="preserve"> </w:t>
      </w:r>
      <w:r w:rsidR="00442BC8" w:rsidRPr="00DE329E">
        <w:rPr>
          <w:i w:val="0"/>
          <w:sz w:val="26"/>
          <w:szCs w:val="26"/>
        </w:rPr>
        <w:t xml:space="preserve">3.4.2.1. pasākuma </w:t>
      </w:r>
      <w:r w:rsidR="00711F5C">
        <w:rPr>
          <w:i w:val="0"/>
          <w:sz w:val="26"/>
          <w:szCs w:val="26"/>
        </w:rPr>
        <w:t>"</w:t>
      </w:r>
      <w:r w:rsidR="00442BC8" w:rsidRPr="00DE329E">
        <w:rPr>
          <w:i w:val="0"/>
          <w:sz w:val="26"/>
          <w:szCs w:val="26"/>
        </w:rPr>
        <w:t>Valsts pārvaldes profesionālā pilnveide labāka tiesisk</w:t>
      </w:r>
      <w:r w:rsidRPr="00DE329E">
        <w:rPr>
          <w:i w:val="0"/>
          <w:sz w:val="26"/>
          <w:szCs w:val="26"/>
        </w:rPr>
        <w:t>ā</w:t>
      </w:r>
      <w:r w:rsidR="00442BC8" w:rsidRPr="00DE329E">
        <w:rPr>
          <w:i w:val="0"/>
          <w:sz w:val="26"/>
          <w:szCs w:val="26"/>
        </w:rPr>
        <w:t xml:space="preserve"> regulējuma izstrādē mazo un vidējo komersantu atbalsta, korupcijas novēršanas un ēnu ekonomikas mazināšanas jomās</w:t>
      </w:r>
      <w:r w:rsidR="00711F5C">
        <w:rPr>
          <w:i w:val="0"/>
          <w:sz w:val="26"/>
          <w:szCs w:val="26"/>
        </w:rPr>
        <w:t>"</w:t>
      </w:r>
      <w:r w:rsidR="00C4534E" w:rsidRPr="00DE329E">
        <w:rPr>
          <w:i w:val="0"/>
          <w:sz w:val="26"/>
          <w:szCs w:val="26"/>
        </w:rPr>
        <w:t xml:space="preserve"> īstenošanas noteikum</w:t>
      </w:r>
      <w:r w:rsidRPr="00DE329E">
        <w:rPr>
          <w:i w:val="0"/>
          <w:sz w:val="26"/>
          <w:szCs w:val="26"/>
        </w:rPr>
        <w:t>i</w:t>
      </w:r>
      <w:r w:rsidR="00711F5C">
        <w:rPr>
          <w:i w:val="0"/>
          <w:sz w:val="26"/>
          <w:szCs w:val="26"/>
        </w:rPr>
        <w:t>""</w:t>
      </w:r>
    </w:p>
    <w:bookmarkEnd w:id="0"/>
    <w:bookmarkEnd w:id="1"/>
    <w:p w14:paraId="38850CC9" w14:textId="77777777" w:rsidR="0070526D" w:rsidRPr="00DE329E" w:rsidRDefault="003E67CA" w:rsidP="003E67CA">
      <w:pPr>
        <w:pStyle w:val="BodyText3"/>
        <w:jc w:val="center"/>
        <w:rPr>
          <w:bCs/>
          <w:i w:val="0"/>
          <w:sz w:val="26"/>
          <w:szCs w:val="26"/>
        </w:rPr>
      </w:pPr>
      <w:r w:rsidRPr="00DE329E">
        <w:rPr>
          <w:bCs/>
          <w:i w:val="0"/>
          <w:sz w:val="26"/>
          <w:szCs w:val="26"/>
        </w:rPr>
        <w:t>sākotnējās</w:t>
      </w:r>
      <w:r w:rsidR="005A74FF" w:rsidRPr="00DE329E">
        <w:rPr>
          <w:bCs/>
          <w:i w:val="0"/>
          <w:sz w:val="26"/>
          <w:szCs w:val="26"/>
        </w:rPr>
        <w:t xml:space="preserve"> </w:t>
      </w:r>
      <w:r w:rsidRPr="00DE329E">
        <w:rPr>
          <w:bCs/>
          <w:i w:val="0"/>
          <w:sz w:val="26"/>
          <w:szCs w:val="26"/>
        </w:rPr>
        <w:t>ietekmes novērtējuma ziņojums (anotācija)</w:t>
      </w:r>
    </w:p>
    <w:p w14:paraId="38850CCA" w14:textId="77777777" w:rsidR="0024678C" w:rsidRPr="00DE329E" w:rsidRDefault="0024678C" w:rsidP="0024678C">
      <w:pPr>
        <w:pStyle w:val="BodyText3"/>
        <w:jc w:val="center"/>
        <w:rPr>
          <w:i w:val="0"/>
          <w:sz w:val="26"/>
          <w:szCs w:val="26"/>
        </w:rPr>
      </w:pPr>
    </w:p>
    <w:tbl>
      <w:tblPr>
        <w:tblW w:w="9759"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
        <w:gridCol w:w="2334"/>
        <w:gridCol w:w="7065"/>
      </w:tblGrid>
      <w:tr w:rsidR="00DE329E" w:rsidRPr="00DE329E" w14:paraId="38850CCC" w14:textId="77777777" w:rsidTr="005A3AEA">
        <w:trPr>
          <w:tblCellSpacing w:w="0" w:type="dxa"/>
          <w:jc w:val="center"/>
        </w:trPr>
        <w:tc>
          <w:tcPr>
            <w:tcW w:w="9759" w:type="dxa"/>
            <w:gridSpan w:val="3"/>
            <w:tcBorders>
              <w:top w:val="outset" w:sz="6" w:space="0" w:color="auto"/>
              <w:left w:val="outset" w:sz="6" w:space="0" w:color="auto"/>
              <w:bottom w:val="outset" w:sz="6" w:space="0" w:color="auto"/>
              <w:right w:val="outset" w:sz="6" w:space="0" w:color="auto"/>
            </w:tcBorders>
            <w:vAlign w:val="center"/>
            <w:hideMark/>
          </w:tcPr>
          <w:p w14:paraId="38850CCB" w14:textId="77777777" w:rsidR="00062334" w:rsidRPr="00DE329E" w:rsidRDefault="00DD413F" w:rsidP="00DD413F">
            <w:pPr>
              <w:ind w:left="-588"/>
              <w:jc w:val="center"/>
              <w:rPr>
                <w:rFonts w:eastAsia="Times New Roman" w:cs="Times New Roman"/>
                <w:sz w:val="26"/>
                <w:szCs w:val="26"/>
                <w:lang w:eastAsia="lv-LV"/>
              </w:rPr>
            </w:pPr>
            <w:r w:rsidRPr="00DE329E">
              <w:rPr>
                <w:rFonts w:eastAsia="Times New Roman" w:cs="Times New Roman"/>
                <w:b/>
                <w:bCs/>
                <w:sz w:val="26"/>
                <w:szCs w:val="26"/>
                <w:lang w:eastAsia="lv-LV"/>
              </w:rPr>
              <w:t>I. </w:t>
            </w:r>
            <w:r w:rsidR="0070526D" w:rsidRPr="00DE329E">
              <w:rPr>
                <w:rFonts w:eastAsia="Times New Roman" w:cs="Times New Roman"/>
                <w:b/>
                <w:bCs/>
                <w:sz w:val="26"/>
                <w:szCs w:val="26"/>
                <w:lang w:eastAsia="lv-LV"/>
              </w:rPr>
              <w:t>Tiesību akta projekta izstrādes nepieciešamība</w:t>
            </w:r>
          </w:p>
        </w:tc>
      </w:tr>
      <w:tr w:rsidR="00DE329E" w:rsidRPr="00DE329E" w14:paraId="38850CD9" w14:textId="77777777" w:rsidTr="005A3AEA">
        <w:trPr>
          <w:trHeight w:val="630"/>
          <w:tblCellSpacing w:w="0" w:type="dxa"/>
          <w:jc w:val="center"/>
        </w:trPr>
        <w:tc>
          <w:tcPr>
            <w:tcW w:w="360" w:type="dxa"/>
            <w:tcBorders>
              <w:top w:val="outset" w:sz="6" w:space="0" w:color="auto"/>
              <w:left w:val="outset" w:sz="6" w:space="0" w:color="auto"/>
              <w:bottom w:val="outset" w:sz="6" w:space="0" w:color="auto"/>
              <w:right w:val="outset" w:sz="6" w:space="0" w:color="auto"/>
            </w:tcBorders>
            <w:hideMark/>
          </w:tcPr>
          <w:p w14:paraId="38850CCD" w14:textId="77777777" w:rsidR="00852CD2" w:rsidRPr="00DE329E" w:rsidRDefault="00852CD2" w:rsidP="0024678C">
            <w:pPr>
              <w:rPr>
                <w:rFonts w:eastAsia="Times New Roman" w:cs="Times New Roman"/>
                <w:sz w:val="24"/>
                <w:szCs w:val="24"/>
                <w:lang w:eastAsia="lv-LV"/>
              </w:rPr>
            </w:pPr>
            <w:r w:rsidRPr="00DE329E">
              <w:rPr>
                <w:rFonts w:eastAsia="Times New Roman" w:cs="Times New Roman"/>
                <w:sz w:val="24"/>
                <w:szCs w:val="24"/>
                <w:lang w:eastAsia="lv-LV"/>
              </w:rPr>
              <w:t> 1.</w:t>
            </w:r>
          </w:p>
        </w:tc>
        <w:tc>
          <w:tcPr>
            <w:tcW w:w="2334" w:type="dxa"/>
            <w:tcBorders>
              <w:top w:val="outset" w:sz="6" w:space="0" w:color="auto"/>
              <w:left w:val="outset" w:sz="6" w:space="0" w:color="auto"/>
              <w:bottom w:val="outset" w:sz="6" w:space="0" w:color="auto"/>
              <w:right w:val="outset" w:sz="6" w:space="0" w:color="auto"/>
            </w:tcBorders>
            <w:hideMark/>
          </w:tcPr>
          <w:p w14:paraId="38850CD5" w14:textId="43F6A9BD" w:rsidR="003671E2" w:rsidRPr="00DE329E" w:rsidRDefault="00852CD2" w:rsidP="003671E2">
            <w:pPr>
              <w:rPr>
                <w:rFonts w:eastAsia="Times New Roman" w:cs="Times New Roman"/>
                <w:sz w:val="24"/>
                <w:szCs w:val="24"/>
                <w:lang w:eastAsia="lv-LV"/>
              </w:rPr>
            </w:pPr>
            <w:r w:rsidRPr="00DE329E">
              <w:rPr>
                <w:rFonts w:eastAsia="Times New Roman" w:cs="Times New Roman"/>
                <w:sz w:val="24"/>
                <w:szCs w:val="24"/>
                <w:lang w:eastAsia="lv-LV"/>
              </w:rPr>
              <w:t>Pamatojums</w:t>
            </w:r>
          </w:p>
          <w:p w14:paraId="38850CD6" w14:textId="77777777" w:rsidR="00852CD2" w:rsidRPr="00DE329E" w:rsidRDefault="00852CD2" w:rsidP="003671E2">
            <w:pPr>
              <w:jc w:val="center"/>
              <w:rPr>
                <w:rFonts w:eastAsia="Times New Roman" w:cs="Times New Roman"/>
                <w:sz w:val="24"/>
                <w:szCs w:val="24"/>
                <w:lang w:eastAsia="lv-LV"/>
              </w:rPr>
            </w:pPr>
          </w:p>
        </w:tc>
        <w:tc>
          <w:tcPr>
            <w:tcW w:w="7065" w:type="dxa"/>
            <w:tcBorders>
              <w:top w:val="outset" w:sz="6" w:space="0" w:color="auto"/>
              <w:left w:val="outset" w:sz="6" w:space="0" w:color="auto"/>
              <w:bottom w:val="outset" w:sz="6" w:space="0" w:color="auto"/>
              <w:right w:val="outset" w:sz="6" w:space="0" w:color="auto"/>
            </w:tcBorders>
            <w:hideMark/>
          </w:tcPr>
          <w:p w14:paraId="38850CD8" w14:textId="6D532D73" w:rsidR="00603159" w:rsidRPr="00DE329E" w:rsidRDefault="002F5E8B" w:rsidP="00711F5C">
            <w:pPr>
              <w:tabs>
                <w:tab w:val="left" w:pos="147"/>
              </w:tabs>
              <w:ind w:firstLine="127"/>
              <w:jc w:val="both"/>
              <w:rPr>
                <w:sz w:val="24"/>
                <w:szCs w:val="24"/>
              </w:rPr>
            </w:pPr>
            <w:r w:rsidRPr="00DE329E">
              <w:rPr>
                <w:sz w:val="24"/>
                <w:szCs w:val="24"/>
              </w:rPr>
              <w:t>N</w:t>
            </w:r>
            <w:r w:rsidR="00FB093A" w:rsidRPr="00DE329E">
              <w:rPr>
                <w:sz w:val="24"/>
                <w:szCs w:val="24"/>
              </w:rPr>
              <w:t xml:space="preserve">oteikumu </w:t>
            </w:r>
            <w:r w:rsidR="000044FB" w:rsidRPr="00DE329E">
              <w:rPr>
                <w:sz w:val="24"/>
                <w:szCs w:val="24"/>
              </w:rPr>
              <w:t xml:space="preserve">projekts </w:t>
            </w:r>
            <w:r w:rsidR="00711F5C">
              <w:rPr>
                <w:sz w:val="24"/>
                <w:szCs w:val="24"/>
              </w:rPr>
              <w:t>"</w:t>
            </w:r>
            <w:r w:rsidR="00763466" w:rsidRPr="00DE329E">
              <w:rPr>
                <w:sz w:val="24"/>
                <w:szCs w:val="24"/>
              </w:rPr>
              <w:t xml:space="preserve">Grozījumi </w:t>
            </w:r>
            <w:r w:rsidR="000044FB" w:rsidRPr="00DE329E">
              <w:rPr>
                <w:sz w:val="24"/>
                <w:szCs w:val="24"/>
              </w:rPr>
              <w:t xml:space="preserve">Ministru kabineta </w:t>
            </w:r>
            <w:r w:rsidR="00763466" w:rsidRPr="00DE329E">
              <w:rPr>
                <w:sz w:val="24"/>
                <w:szCs w:val="24"/>
              </w:rPr>
              <w:t>2015.</w:t>
            </w:r>
            <w:r w:rsidR="00DD413F" w:rsidRPr="00DE329E">
              <w:rPr>
                <w:sz w:val="24"/>
                <w:szCs w:val="24"/>
              </w:rPr>
              <w:t> </w:t>
            </w:r>
            <w:r w:rsidR="00763466" w:rsidRPr="00DE329E">
              <w:rPr>
                <w:sz w:val="24"/>
                <w:szCs w:val="24"/>
              </w:rPr>
              <w:t>gada 14.</w:t>
            </w:r>
            <w:r w:rsidR="00DD413F" w:rsidRPr="00DE329E">
              <w:rPr>
                <w:sz w:val="24"/>
                <w:szCs w:val="24"/>
              </w:rPr>
              <w:t> </w:t>
            </w:r>
            <w:r w:rsidR="00763466" w:rsidRPr="00DE329E">
              <w:rPr>
                <w:sz w:val="24"/>
                <w:szCs w:val="24"/>
              </w:rPr>
              <w:t>jūlija noteikumos Nr.</w:t>
            </w:r>
            <w:r w:rsidR="00DD413F" w:rsidRPr="00DE329E">
              <w:rPr>
                <w:sz w:val="24"/>
                <w:szCs w:val="24"/>
              </w:rPr>
              <w:t> </w:t>
            </w:r>
            <w:r w:rsidR="00763466" w:rsidRPr="00DE329E">
              <w:rPr>
                <w:sz w:val="24"/>
                <w:szCs w:val="24"/>
              </w:rPr>
              <w:t xml:space="preserve">389 </w:t>
            </w:r>
            <w:r w:rsidR="00711F5C">
              <w:rPr>
                <w:sz w:val="24"/>
                <w:szCs w:val="24"/>
              </w:rPr>
              <w:t>"</w:t>
            </w:r>
            <w:r w:rsidR="00763466" w:rsidRPr="00DE329E">
              <w:rPr>
                <w:sz w:val="24"/>
                <w:szCs w:val="24"/>
              </w:rPr>
              <w:t xml:space="preserve">Darbības programmas </w:t>
            </w:r>
            <w:r w:rsidR="00711F5C">
              <w:rPr>
                <w:sz w:val="24"/>
                <w:szCs w:val="24"/>
              </w:rPr>
              <w:t>"</w:t>
            </w:r>
            <w:r w:rsidR="00763466" w:rsidRPr="00DE329E">
              <w:rPr>
                <w:sz w:val="24"/>
                <w:szCs w:val="24"/>
              </w:rPr>
              <w:t>Izaugsme un nodarbinātība</w:t>
            </w:r>
            <w:r w:rsidR="00711F5C">
              <w:rPr>
                <w:sz w:val="24"/>
                <w:szCs w:val="24"/>
              </w:rPr>
              <w:t>"</w:t>
            </w:r>
            <w:r w:rsidR="00763466" w:rsidRPr="00DE329E">
              <w:rPr>
                <w:sz w:val="24"/>
                <w:szCs w:val="24"/>
              </w:rPr>
              <w:t xml:space="preserve"> 3.4.2.</w:t>
            </w:r>
            <w:r w:rsidRPr="00DE329E">
              <w:rPr>
                <w:sz w:val="24"/>
                <w:szCs w:val="24"/>
              </w:rPr>
              <w:t> </w:t>
            </w:r>
            <w:r w:rsidR="00763466" w:rsidRPr="00DE329E">
              <w:rPr>
                <w:sz w:val="24"/>
                <w:szCs w:val="24"/>
              </w:rPr>
              <w:t xml:space="preserve">specifiskā atbalsta mērķa </w:t>
            </w:r>
            <w:r w:rsidR="00711F5C">
              <w:rPr>
                <w:sz w:val="24"/>
                <w:szCs w:val="24"/>
              </w:rPr>
              <w:t>"</w:t>
            </w:r>
            <w:r w:rsidR="00EB3C5D" w:rsidRPr="00DE329E">
              <w:rPr>
                <w:sz w:val="24"/>
                <w:szCs w:val="24"/>
              </w:rPr>
              <w:t>Valsts pārvaldes profesionālā pilnveide un sociālā dialoga attīstība labāka tiesiskā regulējuma izstrādē mazo un vidējo komersantu atbalsta, korupcijas novēršanas un ēnu ekonomikas mazināšanas jomās</w:t>
            </w:r>
            <w:r w:rsidR="00711F5C">
              <w:rPr>
                <w:sz w:val="24"/>
                <w:szCs w:val="24"/>
              </w:rPr>
              <w:t>"</w:t>
            </w:r>
            <w:r w:rsidR="005106E8" w:rsidRPr="00DE329E">
              <w:rPr>
                <w:sz w:val="24"/>
                <w:szCs w:val="24"/>
              </w:rPr>
              <w:t xml:space="preserve"> 3.4.2.1. pasākuma </w:t>
            </w:r>
            <w:r w:rsidR="00711F5C">
              <w:rPr>
                <w:sz w:val="24"/>
                <w:szCs w:val="24"/>
              </w:rPr>
              <w:t>"</w:t>
            </w:r>
            <w:r w:rsidR="005106E8" w:rsidRPr="00DE329E">
              <w:rPr>
                <w:sz w:val="24"/>
                <w:szCs w:val="24"/>
              </w:rPr>
              <w:t>Valsts pārvaldes profesionālā pilnveide labāka tiesisk</w:t>
            </w:r>
            <w:r w:rsidRPr="00DE329E">
              <w:rPr>
                <w:sz w:val="24"/>
                <w:szCs w:val="24"/>
              </w:rPr>
              <w:t>ā</w:t>
            </w:r>
            <w:r w:rsidR="005106E8" w:rsidRPr="00DE329E">
              <w:rPr>
                <w:sz w:val="24"/>
                <w:szCs w:val="24"/>
              </w:rPr>
              <w:t xml:space="preserve"> regulējuma izstrādē mazo un vidējo komersantu atbalsta, korupcijas novēršanas un ēnu ekonomikas mazināšanas jomās</w:t>
            </w:r>
            <w:r w:rsidR="00711F5C">
              <w:rPr>
                <w:sz w:val="24"/>
                <w:szCs w:val="24"/>
              </w:rPr>
              <w:t>"</w:t>
            </w:r>
            <w:r w:rsidR="00763466" w:rsidRPr="00DE329E">
              <w:rPr>
                <w:sz w:val="24"/>
                <w:szCs w:val="24"/>
              </w:rPr>
              <w:t xml:space="preserve"> īstenošanas noteikum</w:t>
            </w:r>
            <w:r w:rsidRPr="00DE329E">
              <w:rPr>
                <w:sz w:val="24"/>
                <w:szCs w:val="24"/>
              </w:rPr>
              <w:t>i</w:t>
            </w:r>
            <w:r w:rsidR="00711F5C">
              <w:rPr>
                <w:sz w:val="24"/>
                <w:szCs w:val="24"/>
              </w:rPr>
              <w:t>""</w:t>
            </w:r>
            <w:r w:rsidR="00763466" w:rsidRPr="00DE329E">
              <w:rPr>
                <w:sz w:val="24"/>
                <w:szCs w:val="24"/>
              </w:rPr>
              <w:t xml:space="preserve"> </w:t>
            </w:r>
            <w:r w:rsidR="00FB093A" w:rsidRPr="00DE329E">
              <w:rPr>
                <w:sz w:val="24"/>
                <w:szCs w:val="24"/>
              </w:rPr>
              <w:t>(turpmāk</w:t>
            </w:r>
            <w:r w:rsidRPr="00DE329E">
              <w:rPr>
                <w:sz w:val="24"/>
                <w:szCs w:val="24"/>
              </w:rPr>
              <w:t> </w:t>
            </w:r>
            <w:r w:rsidR="00FB093A" w:rsidRPr="00DE329E">
              <w:rPr>
                <w:sz w:val="24"/>
                <w:szCs w:val="24"/>
              </w:rPr>
              <w:t>–</w:t>
            </w:r>
            <w:r w:rsidR="00DD413F" w:rsidRPr="00DE329E">
              <w:rPr>
                <w:sz w:val="24"/>
                <w:szCs w:val="24"/>
              </w:rPr>
              <w:t xml:space="preserve"> </w:t>
            </w:r>
            <w:r w:rsidR="00E13418" w:rsidRPr="00DE329E">
              <w:rPr>
                <w:sz w:val="24"/>
                <w:szCs w:val="24"/>
              </w:rPr>
              <w:t>noteikum</w:t>
            </w:r>
            <w:r w:rsidR="00F25869" w:rsidRPr="00DE329E">
              <w:rPr>
                <w:sz w:val="24"/>
                <w:szCs w:val="24"/>
              </w:rPr>
              <w:t>u projekts</w:t>
            </w:r>
            <w:r w:rsidR="0026757D" w:rsidRPr="00DE329E">
              <w:rPr>
                <w:sz w:val="24"/>
                <w:szCs w:val="24"/>
              </w:rPr>
              <w:t>)</w:t>
            </w:r>
            <w:r w:rsidR="00CA3778" w:rsidRPr="00DE329E">
              <w:t xml:space="preserve"> </w:t>
            </w:r>
            <w:r w:rsidR="00CA3778" w:rsidRPr="00DE329E">
              <w:rPr>
                <w:sz w:val="24"/>
                <w:szCs w:val="24"/>
              </w:rPr>
              <w:t>izstrādāts</w:t>
            </w:r>
            <w:r w:rsidRPr="00DE329E">
              <w:rPr>
                <w:sz w:val="24"/>
                <w:szCs w:val="24"/>
              </w:rPr>
              <w:t>,</w:t>
            </w:r>
            <w:r w:rsidR="00CA3778" w:rsidRPr="00DE329E">
              <w:rPr>
                <w:sz w:val="24"/>
                <w:szCs w:val="24"/>
              </w:rPr>
              <w:t xml:space="preserve"> pamatojoties </w:t>
            </w:r>
            <w:r w:rsidR="00F25869" w:rsidRPr="00DE329E">
              <w:rPr>
                <w:sz w:val="24"/>
                <w:szCs w:val="24"/>
              </w:rPr>
              <w:t xml:space="preserve">uz </w:t>
            </w:r>
            <w:r w:rsidR="00093820" w:rsidRPr="00DE329E">
              <w:rPr>
                <w:sz w:val="24"/>
                <w:szCs w:val="24"/>
              </w:rPr>
              <w:t>Eiropas Savienības struktūrfondu un Kohēzijas fonda 2014.–2020.</w:t>
            </w:r>
            <w:r w:rsidR="00711F5C">
              <w:rPr>
                <w:sz w:val="24"/>
                <w:szCs w:val="24"/>
              </w:rPr>
              <w:t> </w:t>
            </w:r>
            <w:r w:rsidR="00093820" w:rsidRPr="00DE329E">
              <w:rPr>
                <w:sz w:val="24"/>
                <w:szCs w:val="24"/>
              </w:rPr>
              <w:t>gada plānošanas perioda vadības likuma 20. panta 6. un 13.</w:t>
            </w:r>
            <w:r w:rsidR="00711F5C">
              <w:rPr>
                <w:sz w:val="24"/>
                <w:szCs w:val="24"/>
              </w:rPr>
              <w:t> </w:t>
            </w:r>
            <w:r w:rsidR="004F40F9" w:rsidRPr="00DE329E">
              <w:rPr>
                <w:sz w:val="24"/>
                <w:szCs w:val="24"/>
              </w:rPr>
              <w:t>p</w:t>
            </w:r>
            <w:r w:rsidR="00093820" w:rsidRPr="00DE329E">
              <w:rPr>
                <w:sz w:val="24"/>
                <w:szCs w:val="24"/>
              </w:rPr>
              <w:t>unktu</w:t>
            </w:r>
            <w:r w:rsidR="006A005C" w:rsidRPr="00DE329E">
              <w:rPr>
                <w:sz w:val="24"/>
                <w:szCs w:val="24"/>
              </w:rPr>
              <w:t xml:space="preserve"> un </w:t>
            </w:r>
            <w:r w:rsidR="005438E9" w:rsidRPr="00DE329E">
              <w:rPr>
                <w:sz w:val="24"/>
                <w:szCs w:val="24"/>
              </w:rPr>
              <w:t xml:space="preserve">Ministru kabineta </w:t>
            </w:r>
            <w:r w:rsidR="00A226AC" w:rsidRPr="00DE329E">
              <w:rPr>
                <w:sz w:val="24"/>
                <w:szCs w:val="24"/>
              </w:rPr>
              <w:t>2017.</w:t>
            </w:r>
            <w:r w:rsidR="006F0468" w:rsidRPr="00DE329E">
              <w:rPr>
                <w:sz w:val="24"/>
                <w:szCs w:val="24"/>
              </w:rPr>
              <w:t xml:space="preserve"> </w:t>
            </w:r>
            <w:r w:rsidR="00A226AC" w:rsidRPr="00DE329E">
              <w:rPr>
                <w:sz w:val="24"/>
                <w:szCs w:val="24"/>
              </w:rPr>
              <w:t>gada 29.</w:t>
            </w:r>
            <w:r w:rsidR="006F0468" w:rsidRPr="00DE329E">
              <w:rPr>
                <w:sz w:val="24"/>
                <w:szCs w:val="24"/>
              </w:rPr>
              <w:t xml:space="preserve"> </w:t>
            </w:r>
            <w:r w:rsidR="00A226AC" w:rsidRPr="00DE329E">
              <w:rPr>
                <w:sz w:val="24"/>
                <w:szCs w:val="24"/>
              </w:rPr>
              <w:t xml:space="preserve">marta </w:t>
            </w:r>
            <w:r w:rsidR="006A005C" w:rsidRPr="00DE329E">
              <w:rPr>
                <w:sz w:val="24"/>
                <w:szCs w:val="24"/>
              </w:rPr>
              <w:t>rīkojum</w:t>
            </w:r>
            <w:r w:rsidR="005438E9" w:rsidRPr="00DE329E">
              <w:rPr>
                <w:sz w:val="24"/>
                <w:szCs w:val="24"/>
              </w:rPr>
              <w:t>u</w:t>
            </w:r>
            <w:r w:rsidR="006A005C" w:rsidRPr="00DE329E">
              <w:rPr>
                <w:sz w:val="24"/>
                <w:szCs w:val="24"/>
              </w:rPr>
              <w:t xml:space="preserve"> Nr.</w:t>
            </w:r>
            <w:r w:rsidR="00711F5C">
              <w:rPr>
                <w:sz w:val="24"/>
                <w:szCs w:val="24"/>
              </w:rPr>
              <w:t> </w:t>
            </w:r>
            <w:r w:rsidR="006A005C" w:rsidRPr="00DE329E">
              <w:rPr>
                <w:sz w:val="24"/>
                <w:szCs w:val="24"/>
              </w:rPr>
              <w:t>160</w:t>
            </w:r>
            <w:r w:rsidR="00A226AC" w:rsidRPr="00DE329E">
              <w:rPr>
                <w:sz w:val="24"/>
                <w:szCs w:val="24"/>
              </w:rPr>
              <w:t xml:space="preserve"> </w:t>
            </w:r>
            <w:r w:rsidR="00711F5C">
              <w:rPr>
                <w:sz w:val="24"/>
                <w:szCs w:val="24"/>
              </w:rPr>
              <w:t>"</w:t>
            </w:r>
            <w:r w:rsidR="00A226AC" w:rsidRPr="00DE329E">
              <w:rPr>
                <w:sz w:val="24"/>
                <w:szCs w:val="24"/>
              </w:rPr>
              <w:t>Grozījumi Eiropas Savienības struktūrfondu un Kohēzijas fonda 2014.</w:t>
            </w:r>
            <w:r w:rsidRPr="00DE329E">
              <w:rPr>
                <w:sz w:val="24"/>
                <w:szCs w:val="24"/>
              </w:rPr>
              <w:t>–</w:t>
            </w:r>
            <w:r w:rsidR="00A226AC" w:rsidRPr="00DE329E">
              <w:rPr>
                <w:sz w:val="24"/>
                <w:szCs w:val="24"/>
              </w:rPr>
              <w:t xml:space="preserve">2020. gada plānošanas perioda darbības programmā </w:t>
            </w:r>
            <w:r w:rsidR="00711F5C">
              <w:rPr>
                <w:sz w:val="24"/>
                <w:szCs w:val="24"/>
              </w:rPr>
              <w:t>"</w:t>
            </w:r>
            <w:r w:rsidR="00A226AC" w:rsidRPr="00DE329E">
              <w:rPr>
                <w:sz w:val="24"/>
                <w:szCs w:val="24"/>
              </w:rPr>
              <w:t>Izaugsme un nodarbinātība</w:t>
            </w:r>
            <w:r w:rsidR="00711F5C">
              <w:rPr>
                <w:sz w:val="24"/>
                <w:szCs w:val="24"/>
              </w:rPr>
              <w:t>""</w:t>
            </w:r>
          </w:p>
        </w:tc>
      </w:tr>
      <w:tr w:rsidR="00DE329E" w:rsidRPr="00DE329E" w14:paraId="38850CF1" w14:textId="77777777" w:rsidTr="005A3AEA">
        <w:trPr>
          <w:trHeight w:val="1186"/>
          <w:tblCellSpacing w:w="0" w:type="dxa"/>
          <w:jc w:val="center"/>
        </w:trPr>
        <w:tc>
          <w:tcPr>
            <w:tcW w:w="360" w:type="dxa"/>
            <w:tcBorders>
              <w:top w:val="outset" w:sz="6" w:space="0" w:color="auto"/>
              <w:left w:val="outset" w:sz="6" w:space="0" w:color="auto"/>
              <w:bottom w:val="outset" w:sz="6" w:space="0" w:color="auto"/>
              <w:right w:val="outset" w:sz="6" w:space="0" w:color="auto"/>
            </w:tcBorders>
            <w:hideMark/>
          </w:tcPr>
          <w:p w14:paraId="38850CDA" w14:textId="77777777" w:rsidR="0070526D" w:rsidRPr="00DE329E" w:rsidRDefault="0070526D" w:rsidP="0070526D">
            <w:pPr>
              <w:spacing w:before="100" w:beforeAutospacing="1" w:after="100" w:afterAutospacing="1"/>
              <w:rPr>
                <w:rFonts w:eastAsia="Times New Roman" w:cs="Times New Roman"/>
                <w:sz w:val="24"/>
                <w:szCs w:val="24"/>
                <w:lang w:eastAsia="lv-LV"/>
              </w:rPr>
            </w:pPr>
            <w:r w:rsidRPr="00DE329E">
              <w:rPr>
                <w:rFonts w:eastAsia="Times New Roman" w:cs="Times New Roman"/>
                <w:sz w:val="24"/>
                <w:szCs w:val="24"/>
                <w:lang w:eastAsia="lv-LV"/>
              </w:rPr>
              <w:t> 2.</w:t>
            </w:r>
          </w:p>
        </w:tc>
        <w:tc>
          <w:tcPr>
            <w:tcW w:w="2334" w:type="dxa"/>
            <w:tcBorders>
              <w:top w:val="outset" w:sz="6" w:space="0" w:color="auto"/>
              <w:left w:val="outset" w:sz="6" w:space="0" w:color="auto"/>
              <w:bottom w:val="outset" w:sz="6" w:space="0" w:color="auto"/>
              <w:right w:val="outset" w:sz="6" w:space="0" w:color="auto"/>
            </w:tcBorders>
            <w:hideMark/>
          </w:tcPr>
          <w:p w14:paraId="38850CDB" w14:textId="77777777" w:rsidR="0070526D" w:rsidRPr="00DE329E" w:rsidRDefault="00CD29CB" w:rsidP="00CD29CB">
            <w:pPr>
              <w:rPr>
                <w:rFonts w:eastAsia="Times New Roman" w:cs="Times New Roman"/>
                <w:sz w:val="24"/>
                <w:szCs w:val="24"/>
                <w:lang w:eastAsia="lv-LV"/>
              </w:rPr>
            </w:pPr>
            <w:r w:rsidRPr="00DE329E">
              <w:rPr>
                <w:rFonts w:eastAsia="Times New Roman" w:cs="Times New Roman"/>
                <w:sz w:val="24"/>
                <w:szCs w:val="24"/>
                <w:lang w:eastAsia="lv-LV"/>
              </w:rPr>
              <w:t>Pašreizējā situācija un problēmas, kuru risināšanai tiesību akta projekts izstrādāts, tiesiskā regulējuma mērķis un būtība</w:t>
            </w:r>
          </w:p>
        </w:tc>
        <w:tc>
          <w:tcPr>
            <w:tcW w:w="7065" w:type="dxa"/>
            <w:tcBorders>
              <w:top w:val="outset" w:sz="6" w:space="0" w:color="auto"/>
              <w:left w:val="outset" w:sz="6" w:space="0" w:color="auto"/>
              <w:bottom w:val="outset" w:sz="6" w:space="0" w:color="auto"/>
              <w:right w:val="outset" w:sz="6" w:space="0" w:color="auto"/>
            </w:tcBorders>
          </w:tcPr>
          <w:p w14:paraId="38850CDF" w14:textId="7F7B345D" w:rsidR="00915A93" w:rsidRPr="00DE329E" w:rsidRDefault="00CA3778" w:rsidP="005656B2">
            <w:pPr>
              <w:pStyle w:val="BodyText"/>
              <w:tabs>
                <w:tab w:val="left" w:pos="547"/>
              </w:tabs>
              <w:spacing w:after="0"/>
              <w:ind w:firstLine="268"/>
              <w:jc w:val="both"/>
              <w:rPr>
                <w:spacing w:val="-3"/>
                <w:sz w:val="24"/>
                <w:szCs w:val="24"/>
              </w:rPr>
            </w:pPr>
            <w:r w:rsidRPr="00DE329E">
              <w:rPr>
                <w:spacing w:val="-3"/>
                <w:sz w:val="24"/>
                <w:szCs w:val="24"/>
              </w:rPr>
              <w:t>Noteikumu projekta izstrādes nepieciešamība saistīta ar</w:t>
            </w:r>
            <w:r w:rsidR="00C02179" w:rsidRPr="00DE329E">
              <w:rPr>
                <w:spacing w:val="-3"/>
                <w:sz w:val="24"/>
                <w:szCs w:val="24"/>
              </w:rPr>
              <w:t xml:space="preserve"> </w:t>
            </w:r>
            <w:r w:rsidR="005438E9" w:rsidRPr="00DE329E">
              <w:rPr>
                <w:spacing w:val="-3"/>
                <w:sz w:val="24"/>
                <w:szCs w:val="24"/>
              </w:rPr>
              <w:t xml:space="preserve">Ministru kabineta </w:t>
            </w:r>
            <w:r w:rsidR="006F0468" w:rsidRPr="00DE329E">
              <w:rPr>
                <w:spacing w:val="-3"/>
                <w:sz w:val="24"/>
                <w:szCs w:val="24"/>
              </w:rPr>
              <w:t xml:space="preserve">2017. gada 29. marta rīkojumu Nr. 160 </w:t>
            </w:r>
            <w:r w:rsidR="00711F5C">
              <w:rPr>
                <w:spacing w:val="-3"/>
                <w:sz w:val="24"/>
                <w:szCs w:val="24"/>
              </w:rPr>
              <w:t>"</w:t>
            </w:r>
            <w:r w:rsidR="006F0468" w:rsidRPr="00DE329E">
              <w:rPr>
                <w:spacing w:val="-3"/>
                <w:sz w:val="24"/>
                <w:szCs w:val="24"/>
              </w:rPr>
              <w:t>Grozījumi Eiropas Savienības struktūrfondu un Kohēzijas fonda 2014.</w:t>
            </w:r>
            <w:r w:rsidR="002F5E8B" w:rsidRPr="00DE329E">
              <w:rPr>
                <w:spacing w:val="-3"/>
                <w:sz w:val="24"/>
                <w:szCs w:val="24"/>
              </w:rPr>
              <w:t>–</w:t>
            </w:r>
            <w:r w:rsidR="006F0468" w:rsidRPr="00DE329E">
              <w:rPr>
                <w:spacing w:val="-3"/>
                <w:sz w:val="24"/>
                <w:szCs w:val="24"/>
              </w:rPr>
              <w:t xml:space="preserve">2020. gada plānošanas perioda darbības programmā </w:t>
            </w:r>
            <w:r w:rsidR="00711F5C">
              <w:rPr>
                <w:spacing w:val="-3"/>
                <w:sz w:val="24"/>
                <w:szCs w:val="24"/>
              </w:rPr>
              <w:t>"</w:t>
            </w:r>
            <w:r w:rsidR="006F0468" w:rsidRPr="00DE329E">
              <w:rPr>
                <w:spacing w:val="-3"/>
                <w:sz w:val="24"/>
                <w:szCs w:val="24"/>
              </w:rPr>
              <w:t>Izaugsme un nodarbinātība</w:t>
            </w:r>
            <w:r w:rsidR="00711F5C">
              <w:rPr>
                <w:spacing w:val="-3"/>
                <w:sz w:val="24"/>
                <w:szCs w:val="24"/>
              </w:rPr>
              <w:t>""</w:t>
            </w:r>
            <w:r w:rsidR="005438E9" w:rsidRPr="00DE329E">
              <w:rPr>
                <w:spacing w:val="-3"/>
                <w:sz w:val="24"/>
                <w:szCs w:val="24"/>
              </w:rPr>
              <w:t>, kura</w:t>
            </w:r>
            <w:r w:rsidR="00290A28" w:rsidRPr="00DE329E">
              <w:rPr>
                <w:spacing w:val="-3"/>
                <w:sz w:val="24"/>
                <w:szCs w:val="24"/>
              </w:rPr>
              <w:t xml:space="preserve"> ietvaros tika precizēts 3.4.2. specifiskais atbalsta mērķis</w:t>
            </w:r>
            <w:r w:rsidR="0022662C" w:rsidRPr="00DE329E">
              <w:rPr>
                <w:spacing w:val="-3"/>
                <w:sz w:val="24"/>
                <w:szCs w:val="24"/>
              </w:rPr>
              <w:t xml:space="preserve"> (turpmāk – SAM)</w:t>
            </w:r>
            <w:r w:rsidR="00290A28" w:rsidRPr="00DE329E">
              <w:rPr>
                <w:spacing w:val="-3"/>
                <w:sz w:val="24"/>
                <w:szCs w:val="24"/>
              </w:rPr>
              <w:t xml:space="preserve">, </w:t>
            </w:r>
            <w:r w:rsidR="002F5E8B" w:rsidRPr="00DE329E">
              <w:rPr>
                <w:spacing w:val="-3"/>
                <w:sz w:val="24"/>
                <w:szCs w:val="24"/>
              </w:rPr>
              <w:t>–</w:t>
            </w:r>
            <w:r w:rsidR="00290A28" w:rsidRPr="00DE329E">
              <w:rPr>
                <w:spacing w:val="-3"/>
                <w:sz w:val="24"/>
                <w:szCs w:val="24"/>
              </w:rPr>
              <w:t xml:space="preserve"> </w:t>
            </w:r>
            <w:r w:rsidR="00711F5C">
              <w:rPr>
                <w:spacing w:val="-3"/>
                <w:sz w:val="24"/>
                <w:szCs w:val="24"/>
              </w:rPr>
              <w:t>"</w:t>
            </w:r>
            <w:r w:rsidR="007E28F5" w:rsidRPr="00DE329E">
              <w:rPr>
                <w:spacing w:val="-3"/>
                <w:sz w:val="24"/>
                <w:szCs w:val="24"/>
              </w:rPr>
              <w:t>Valsts pārvaldes profesionālā pilnveide, publisko pakalpojumu un sociālā dialoga attīstība mazo un vidējo komersantu atbalsta, korupcijas novēršanas un ēnu ekonomikas mazināšanas sekmēšanai</w:t>
            </w:r>
            <w:r w:rsidR="00711F5C">
              <w:rPr>
                <w:spacing w:val="-3"/>
                <w:sz w:val="24"/>
                <w:szCs w:val="24"/>
              </w:rPr>
              <w:t>"</w:t>
            </w:r>
            <w:r w:rsidR="00AD0B28" w:rsidRPr="00DE329E">
              <w:rPr>
                <w:spacing w:val="-3"/>
                <w:sz w:val="24"/>
                <w:szCs w:val="24"/>
              </w:rPr>
              <w:t xml:space="preserve">, </w:t>
            </w:r>
            <w:r w:rsidR="00B02453" w:rsidRPr="00DE329E">
              <w:rPr>
                <w:spacing w:val="-3"/>
                <w:sz w:val="24"/>
                <w:szCs w:val="24"/>
              </w:rPr>
              <w:t xml:space="preserve">līdz ar to papildinot </w:t>
            </w:r>
            <w:r w:rsidR="0022662C" w:rsidRPr="00DE329E">
              <w:rPr>
                <w:spacing w:val="-3"/>
                <w:sz w:val="24"/>
                <w:szCs w:val="24"/>
              </w:rPr>
              <w:t>SAM</w:t>
            </w:r>
            <w:r w:rsidR="00B02453" w:rsidRPr="00DE329E">
              <w:rPr>
                <w:spacing w:val="-3"/>
                <w:sz w:val="24"/>
                <w:szCs w:val="24"/>
              </w:rPr>
              <w:t xml:space="preserve"> ar jaunu pasākumu</w:t>
            </w:r>
            <w:r w:rsidR="005656B2" w:rsidRPr="00DE329E">
              <w:rPr>
                <w:spacing w:val="-3"/>
                <w:sz w:val="24"/>
                <w:szCs w:val="24"/>
              </w:rPr>
              <w:t xml:space="preserve"> </w:t>
            </w:r>
            <w:r w:rsidR="002F5E8B" w:rsidRPr="00DE329E">
              <w:rPr>
                <w:spacing w:val="-3"/>
                <w:sz w:val="24"/>
                <w:szCs w:val="24"/>
              </w:rPr>
              <w:t>– 3.4.2.3. </w:t>
            </w:r>
            <w:r w:rsidR="005656B2" w:rsidRPr="00DE329E">
              <w:rPr>
                <w:spacing w:val="-3"/>
                <w:sz w:val="24"/>
                <w:szCs w:val="24"/>
              </w:rPr>
              <w:t>pasākum</w:t>
            </w:r>
            <w:r w:rsidR="002F5E8B" w:rsidRPr="00DE329E">
              <w:rPr>
                <w:spacing w:val="-3"/>
                <w:sz w:val="24"/>
                <w:szCs w:val="24"/>
              </w:rPr>
              <w:t>u</w:t>
            </w:r>
            <w:r w:rsidR="00B02453" w:rsidRPr="00DE329E">
              <w:rPr>
                <w:spacing w:val="-3"/>
                <w:sz w:val="24"/>
                <w:szCs w:val="24"/>
              </w:rPr>
              <w:t xml:space="preserve"> </w:t>
            </w:r>
            <w:r w:rsidR="00711F5C">
              <w:rPr>
                <w:spacing w:val="-3"/>
                <w:sz w:val="24"/>
                <w:szCs w:val="24"/>
              </w:rPr>
              <w:t>"</w:t>
            </w:r>
            <w:r w:rsidR="00B02453" w:rsidRPr="00DE329E">
              <w:rPr>
                <w:spacing w:val="-3"/>
                <w:sz w:val="24"/>
                <w:szCs w:val="24"/>
              </w:rPr>
              <w:t>Publisko pakalpojumu pārveides metodoloģijas izstrāde un aprobācija</w:t>
            </w:r>
            <w:r w:rsidR="00711F5C">
              <w:rPr>
                <w:spacing w:val="-3"/>
                <w:sz w:val="24"/>
                <w:szCs w:val="24"/>
              </w:rPr>
              <w:t>"</w:t>
            </w:r>
            <w:r w:rsidR="003D2AE1" w:rsidRPr="00DE329E">
              <w:rPr>
                <w:spacing w:val="-3"/>
                <w:sz w:val="24"/>
                <w:szCs w:val="24"/>
              </w:rPr>
              <w:t xml:space="preserve"> (turpmāk – 3.4.2.3</w:t>
            </w:r>
            <w:r w:rsidR="00751D20" w:rsidRPr="00DE329E">
              <w:rPr>
                <w:spacing w:val="-3"/>
                <w:sz w:val="24"/>
                <w:szCs w:val="24"/>
              </w:rPr>
              <w:t>. p</w:t>
            </w:r>
            <w:r w:rsidR="003D2AE1" w:rsidRPr="00DE329E">
              <w:rPr>
                <w:spacing w:val="-3"/>
                <w:sz w:val="24"/>
                <w:szCs w:val="24"/>
              </w:rPr>
              <w:t>asākums)</w:t>
            </w:r>
            <w:r w:rsidR="00967B6B" w:rsidRPr="00DE329E">
              <w:rPr>
                <w:spacing w:val="-3"/>
                <w:sz w:val="24"/>
                <w:szCs w:val="24"/>
              </w:rPr>
              <w:t>.</w:t>
            </w:r>
          </w:p>
          <w:p w14:paraId="38850CF0" w14:textId="7575ABC1" w:rsidR="00BF6A46" w:rsidRPr="00DE329E" w:rsidRDefault="006F2907" w:rsidP="005438E9">
            <w:pPr>
              <w:pStyle w:val="BodyText"/>
              <w:tabs>
                <w:tab w:val="left" w:pos="547"/>
              </w:tabs>
              <w:spacing w:after="0"/>
              <w:jc w:val="both"/>
              <w:rPr>
                <w:iCs/>
                <w:sz w:val="24"/>
                <w:szCs w:val="24"/>
              </w:rPr>
            </w:pPr>
            <w:r w:rsidRPr="00DE329E">
              <w:rPr>
                <w:spacing w:val="-3"/>
                <w:sz w:val="24"/>
                <w:szCs w:val="24"/>
              </w:rPr>
              <w:t>Ņemot vērā</w:t>
            </w:r>
            <w:r w:rsidR="00B433A0" w:rsidRPr="00DE329E">
              <w:rPr>
                <w:spacing w:val="-3"/>
                <w:sz w:val="24"/>
                <w:szCs w:val="24"/>
              </w:rPr>
              <w:t xml:space="preserve"> veiktās izmaiņas </w:t>
            </w:r>
            <w:r w:rsidR="00654CF6" w:rsidRPr="00DE329E">
              <w:rPr>
                <w:spacing w:val="-3"/>
                <w:sz w:val="24"/>
                <w:szCs w:val="24"/>
              </w:rPr>
              <w:t>darbības programmā</w:t>
            </w:r>
            <w:r w:rsidR="00CA4586" w:rsidRPr="00DE329E">
              <w:rPr>
                <w:spacing w:val="-3"/>
                <w:sz w:val="24"/>
                <w:szCs w:val="24"/>
              </w:rPr>
              <w:t>,</w:t>
            </w:r>
            <w:r w:rsidR="00654CF6" w:rsidRPr="00DE329E">
              <w:rPr>
                <w:spacing w:val="-3"/>
                <w:sz w:val="24"/>
                <w:szCs w:val="24"/>
              </w:rPr>
              <w:t xml:space="preserve"> ir nepieciešams </w:t>
            </w:r>
            <w:r w:rsidR="00D552AA" w:rsidRPr="00DE329E">
              <w:rPr>
                <w:spacing w:val="-3"/>
                <w:sz w:val="24"/>
                <w:szCs w:val="24"/>
              </w:rPr>
              <w:t>samazin</w:t>
            </w:r>
            <w:r w:rsidR="00C27EB2" w:rsidRPr="00DE329E">
              <w:rPr>
                <w:spacing w:val="-3"/>
                <w:sz w:val="24"/>
                <w:szCs w:val="24"/>
              </w:rPr>
              <w:t>ā</w:t>
            </w:r>
            <w:r w:rsidR="00D552AA" w:rsidRPr="00DE329E">
              <w:rPr>
                <w:spacing w:val="-3"/>
                <w:sz w:val="24"/>
                <w:szCs w:val="24"/>
              </w:rPr>
              <w:t xml:space="preserve">t </w:t>
            </w:r>
            <w:r w:rsidR="00E57B71" w:rsidRPr="00DE329E">
              <w:rPr>
                <w:spacing w:val="-3"/>
                <w:sz w:val="24"/>
                <w:szCs w:val="24"/>
              </w:rPr>
              <w:t>3.4.2.1</w:t>
            </w:r>
            <w:r w:rsidR="00751D20" w:rsidRPr="00DE329E">
              <w:rPr>
                <w:spacing w:val="-3"/>
                <w:sz w:val="24"/>
                <w:szCs w:val="24"/>
              </w:rPr>
              <w:t>. p</w:t>
            </w:r>
            <w:r w:rsidR="00E57B71" w:rsidRPr="00DE329E">
              <w:rPr>
                <w:spacing w:val="-3"/>
                <w:sz w:val="24"/>
                <w:szCs w:val="24"/>
              </w:rPr>
              <w:t xml:space="preserve">asākuma </w:t>
            </w:r>
            <w:r w:rsidR="00D552AA" w:rsidRPr="00DE329E">
              <w:rPr>
                <w:spacing w:val="-3"/>
                <w:sz w:val="24"/>
                <w:szCs w:val="24"/>
              </w:rPr>
              <w:t xml:space="preserve">kopējo finansējumu par </w:t>
            </w:r>
            <w:r w:rsidR="003D2AE1" w:rsidRPr="00DE329E">
              <w:rPr>
                <w:spacing w:val="-3"/>
                <w:sz w:val="24"/>
                <w:szCs w:val="24"/>
              </w:rPr>
              <w:t>400 </w:t>
            </w:r>
            <w:r w:rsidR="00A4602F" w:rsidRPr="00DE329E">
              <w:rPr>
                <w:spacing w:val="-3"/>
                <w:sz w:val="24"/>
                <w:szCs w:val="24"/>
              </w:rPr>
              <w:t>0</w:t>
            </w:r>
            <w:r w:rsidR="003D2AE1" w:rsidRPr="00DE329E">
              <w:rPr>
                <w:spacing w:val="-3"/>
                <w:sz w:val="24"/>
                <w:szCs w:val="24"/>
              </w:rPr>
              <w:t xml:space="preserve">00 </w:t>
            </w:r>
            <w:r w:rsidR="00B433A0" w:rsidRPr="00DE329E">
              <w:rPr>
                <w:i/>
                <w:spacing w:val="-3"/>
                <w:sz w:val="24"/>
                <w:szCs w:val="24"/>
              </w:rPr>
              <w:t>euro</w:t>
            </w:r>
            <w:r w:rsidR="00654CF6" w:rsidRPr="00DE329E">
              <w:rPr>
                <w:spacing w:val="-3"/>
                <w:sz w:val="24"/>
                <w:szCs w:val="24"/>
              </w:rPr>
              <w:t xml:space="preserve">, </w:t>
            </w:r>
            <w:r w:rsidR="00C27EB2" w:rsidRPr="00DE329E">
              <w:rPr>
                <w:spacing w:val="-3"/>
                <w:sz w:val="24"/>
                <w:szCs w:val="24"/>
              </w:rPr>
              <w:t xml:space="preserve">kas </w:t>
            </w:r>
            <w:r w:rsidR="00654CF6" w:rsidRPr="00DE329E">
              <w:rPr>
                <w:spacing w:val="-3"/>
                <w:sz w:val="24"/>
                <w:szCs w:val="24"/>
              </w:rPr>
              <w:t>tik</w:t>
            </w:r>
            <w:r w:rsidR="004C6FE9" w:rsidRPr="00DE329E">
              <w:rPr>
                <w:spacing w:val="-3"/>
                <w:sz w:val="24"/>
                <w:szCs w:val="24"/>
              </w:rPr>
              <w:t>s</w:t>
            </w:r>
            <w:r w:rsidR="00654CF6" w:rsidRPr="00DE329E">
              <w:rPr>
                <w:spacing w:val="-3"/>
                <w:sz w:val="24"/>
                <w:szCs w:val="24"/>
              </w:rPr>
              <w:t xml:space="preserve"> novirzīt</w:t>
            </w:r>
            <w:r w:rsidR="00BD34BC" w:rsidRPr="00DE329E">
              <w:rPr>
                <w:spacing w:val="-3"/>
                <w:sz w:val="24"/>
                <w:szCs w:val="24"/>
              </w:rPr>
              <w:t>i</w:t>
            </w:r>
            <w:r w:rsidR="00654CF6" w:rsidRPr="00DE329E">
              <w:rPr>
                <w:spacing w:val="-3"/>
                <w:sz w:val="24"/>
                <w:szCs w:val="24"/>
              </w:rPr>
              <w:t xml:space="preserve"> </w:t>
            </w:r>
            <w:r w:rsidR="003D2AE1" w:rsidRPr="00DE329E">
              <w:rPr>
                <w:spacing w:val="-3"/>
                <w:sz w:val="24"/>
                <w:szCs w:val="24"/>
              </w:rPr>
              <w:t>3.4.2.3</w:t>
            </w:r>
            <w:r w:rsidR="00751D20" w:rsidRPr="00DE329E">
              <w:rPr>
                <w:spacing w:val="-3"/>
                <w:sz w:val="24"/>
                <w:szCs w:val="24"/>
              </w:rPr>
              <w:t>. p</w:t>
            </w:r>
            <w:r w:rsidR="003D2AE1" w:rsidRPr="00DE329E">
              <w:rPr>
                <w:spacing w:val="-3"/>
                <w:sz w:val="24"/>
                <w:szCs w:val="24"/>
              </w:rPr>
              <w:t>asākuma</w:t>
            </w:r>
            <w:r w:rsidR="00654CF6" w:rsidRPr="00DE329E">
              <w:rPr>
                <w:spacing w:val="-3"/>
                <w:sz w:val="24"/>
                <w:szCs w:val="24"/>
              </w:rPr>
              <w:t xml:space="preserve"> īstenošanai</w:t>
            </w:r>
          </w:p>
        </w:tc>
      </w:tr>
      <w:tr w:rsidR="00DE329E" w:rsidRPr="00DE329E" w14:paraId="38850CF5" w14:textId="77777777" w:rsidTr="005A3AEA">
        <w:trPr>
          <w:trHeight w:val="476"/>
          <w:tblCellSpacing w:w="0" w:type="dxa"/>
          <w:jc w:val="center"/>
        </w:trPr>
        <w:tc>
          <w:tcPr>
            <w:tcW w:w="360" w:type="dxa"/>
            <w:tcBorders>
              <w:top w:val="outset" w:sz="6" w:space="0" w:color="auto"/>
              <w:left w:val="outset" w:sz="6" w:space="0" w:color="auto"/>
              <w:bottom w:val="outset" w:sz="6" w:space="0" w:color="auto"/>
              <w:right w:val="outset" w:sz="6" w:space="0" w:color="auto"/>
            </w:tcBorders>
            <w:hideMark/>
          </w:tcPr>
          <w:p w14:paraId="38850CF2" w14:textId="77777777" w:rsidR="0070526D" w:rsidRPr="00DE329E" w:rsidRDefault="00CD29CB" w:rsidP="0070526D">
            <w:pPr>
              <w:spacing w:before="100" w:beforeAutospacing="1" w:after="100" w:afterAutospacing="1"/>
              <w:rPr>
                <w:rFonts w:eastAsia="Times New Roman" w:cs="Times New Roman"/>
                <w:sz w:val="24"/>
                <w:szCs w:val="24"/>
                <w:lang w:eastAsia="lv-LV"/>
              </w:rPr>
            </w:pPr>
            <w:r w:rsidRPr="00DE329E">
              <w:rPr>
                <w:rFonts w:eastAsia="Times New Roman" w:cs="Times New Roman"/>
                <w:sz w:val="24"/>
                <w:szCs w:val="24"/>
                <w:lang w:eastAsia="lv-LV"/>
              </w:rPr>
              <w:t> 3</w:t>
            </w:r>
            <w:r w:rsidR="0070526D" w:rsidRPr="00DE329E">
              <w:rPr>
                <w:rFonts w:eastAsia="Times New Roman" w:cs="Times New Roman"/>
                <w:sz w:val="24"/>
                <w:szCs w:val="24"/>
                <w:lang w:eastAsia="lv-LV"/>
              </w:rPr>
              <w:t>.</w:t>
            </w:r>
          </w:p>
        </w:tc>
        <w:tc>
          <w:tcPr>
            <w:tcW w:w="2334" w:type="dxa"/>
            <w:tcBorders>
              <w:top w:val="outset" w:sz="6" w:space="0" w:color="auto"/>
              <w:left w:val="outset" w:sz="6" w:space="0" w:color="auto"/>
              <w:bottom w:val="outset" w:sz="6" w:space="0" w:color="auto"/>
              <w:right w:val="outset" w:sz="6" w:space="0" w:color="auto"/>
            </w:tcBorders>
            <w:hideMark/>
          </w:tcPr>
          <w:p w14:paraId="38850CF3" w14:textId="77777777" w:rsidR="0070526D" w:rsidRPr="00DE329E" w:rsidRDefault="0070526D" w:rsidP="0070526D">
            <w:pPr>
              <w:spacing w:before="100" w:beforeAutospacing="1" w:after="100" w:afterAutospacing="1"/>
              <w:rPr>
                <w:rFonts w:eastAsia="Times New Roman" w:cs="Times New Roman"/>
                <w:sz w:val="24"/>
                <w:szCs w:val="24"/>
                <w:lang w:eastAsia="lv-LV"/>
              </w:rPr>
            </w:pPr>
            <w:r w:rsidRPr="00DE329E">
              <w:rPr>
                <w:rFonts w:eastAsia="Times New Roman" w:cs="Times New Roman"/>
                <w:sz w:val="24"/>
                <w:szCs w:val="24"/>
                <w:lang w:eastAsia="lv-LV"/>
              </w:rPr>
              <w:t> Projekta izstrādē iesaistītās institūcijas</w:t>
            </w:r>
          </w:p>
        </w:tc>
        <w:tc>
          <w:tcPr>
            <w:tcW w:w="7065" w:type="dxa"/>
            <w:tcBorders>
              <w:top w:val="outset" w:sz="6" w:space="0" w:color="auto"/>
              <w:left w:val="outset" w:sz="6" w:space="0" w:color="auto"/>
              <w:bottom w:val="outset" w:sz="6" w:space="0" w:color="auto"/>
              <w:right w:val="outset" w:sz="6" w:space="0" w:color="auto"/>
            </w:tcBorders>
            <w:hideMark/>
          </w:tcPr>
          <w:p w14:paraId="38850CF4" w14:textId="77777777" w:rsidR="0070526D" w:rsidRPr="00DE329E" w:rsidRDefault="00E13418" w:rsidP="00307B0B">
            <w:pPr>
              <w:tabs>
                <w:tab w:val="left" w:pos="572"/>
              </w:tabs>
              <w:spacing w:before="100" w:beforeAutospacing="1" w:after="100" w:afterAutospacing="1"/>
              <w:ind w:firstLine="268"/>
              <w:jc w:val="both"/>
              <w:rPr>
                <w:rFonts w:eastAsia="Times New Roman" w:cs="Times New Roman"/>
                <w:sz w:val="24"/>
                <w:szCs w:val="24"/>
                <w:lang w:eastAsia="lv-LV"/>
              </w:rPr>
            </w:pPr>
            <w:r w:rsidRPr="00DE329E">
              <w:rPr>
                <w:rFonts w:eastAsia="Times New Roman" w:cs="Times New Roman"/>
                <w:sz w:val="24"/>
                <w:szCs w:val="24"/>
                <w:lang w:eastAsia="lv-LV"/>
              </w:rPr>
              <w:t>Valsts kancelejas Eiropas Savienības struktūrfondu nodaļa</w:t>
            </w:r>
          </w:p>
        </w:tc>
      </w:tr>
      <w:tr w:rsidR="00DE329E" w:rsidRPr="00DE329E" w14:paraId="38850CF9" w14:textId="77777777" w:rsidTr="005A3AEA">
        <w:trPr>
          <w:tblCellSpacing w:w="0" w:type="dxa"/>
          <w:jc w:val="center"/>
        </w:trPr>
        <w:tc>
          <w:tcPr>
            <w:tcW w:w="360" w:type="dxa"/>
            <w:tcBorders>
              <w:top w:val="outset" w:sz="6" w:space="0" w:color="auto"/>
              <w:left w:val="outset" w:sz="6" w:space="0" w:color="auto"/>
              <w:bottom w:val="outset" w:sz="6" w:space="0" w:color="auto"/>
              <w:right w:val="outset" w:sz="6" w:space="0" w:color="auto"/>
            </w:tcBorders>
            <w:hideMark/>
          </w:tcPr>
          <w:p w14:paraId="38850CF6" w14:textId="77777777" w:rsidR="0070526D" w:rsidRPr="00DE329E" w:rsidRDefault="0070526D" w:rsidP="00CD29CB">
            <w:pPr>
              <w:spacing w:before="100" w:beforeAutospacing="1" w:after="100" w:afterAutospacing="1"/>
              <w:rPr>
                <w:rFonts w:eastAsia="Times New Roman" w:cs="Times New Roman"/>
                <w:sz w:val="24"/>
                <w:szCs w:val="24"/>
                <w:lang w:eastAsia="lv-LV"/>
              </w:rPr>
            </w:pPr>
            <w:r w:rsidRPr="00DE329E">
              <w:rPr>
                <w:rFonts w:eastAsia="Times New Roman" w:cs="Times New Roman"/>
                <w:sz w:val="24"/>
                <w:szCs w:val="24"/>
                <w:lang w:eastAsia="lv-LV"/>
              </w:rPr>
              <w:t> </w:t>
            </w:r>
            <w:r w:rsidR="00CD29CB" w:rsidRPr="00DE329E">
              <w:rPr>
                <w:rFonts w:eastAsia="Times New Roman" w:cs="Times New Roman"/>
                <w:sz w:val="24"/>
                <w:szCs w:val="24"/>
                <w:lang w:eastAsia="lv-LV"/>
              </w:rPr>
              <w:t>4</w:t>
            </w:r>
            <w:r w:rsidRPr="00DE329E">
              <w:rPr>
                <w:rFonts w:eastAsia="Times New Roman" w:cs="Times New Roman"/>
                <w:sz w:val="24"/>
                <w:szCs w:val="24"/>
                <w:lang w:eastAsia="lv-LV"/>
              </w:rPr>
              <w:t>.</w:t>
            </w:r>
          </w:p>
        </w:tc>
        <w:tc>
          <w:tcPr>
            <w:tcW w:w="2334" w:type="dxa"/>
            <w:tcBorders>
              <w:top w:val="outset" w:sz="6" w:space="0" w:color="auto"/>
              <w:left w:val="outset" w:sz="6" w:space="0" w:color="auto"/>
              <w:bottom w:val="outset" w:sz="6" w:space="0" w:color="auto"/>
              <w:right w:val="outset" w:sz="6" w:space="0" w:color="auto"/>
            </w:tcBorders>
            <w:hideMark/>
          </w:tcPr>
          <w:p w14:paraId="38850CF7" w14:textId="77777777" w:rsidR="0070526D" w:rsidRPr="00DE329E" w:rsidRDefault="0070526D" w:rsidP="0070526D">
            <w:pPr>
              <w:spacing w:before="100" w:beforeAutospacing="1" w:after="100" w:afterAutospacing="1"/>
              <w:rPr>
                <w:rFonts w:eastAsia="Times New Roman" w:cs="Times New Roman"/>
                <w:sz w:val="24"/>
                <w:szCs w:val="24"/>
                <w:lang w:eastAsia="lv-LV"/>
              </w:rPr>
            </w:pPr>
            <w:r w:rsidRPr="00DE329E">
              <w:rPr>
                <w:rFonts w:eastAsia="Times New Roman" w:cs="Times New Roman"/>
                <w:sz w:val="24"/>
                <w:szCs w:val="24"/>
                <w:lang w:eastAsia="lv-LV"/>
              </w:rPr>
              <w:t> Cita informācija</w:t>
            </w:r>
          </w:p>
        </w:tc>
        <w:tc>
          <w:tcPr>
            <w:tcW w:w="7065" w:type="dxa"/>
            <w:tcBorders>
              <w:top w:val="outset" w:sz="6" w:space="0" w:color="auto"/>
              <w:left w:val="outset" w:sz="6" w:space="0" w:color="auto"/>
              <w:bottom w:val="outset" w:sz="6" w:space="0" w:color="auto"/>
              <w:right w:val="outset" w:sz="6" w:space="0" w:color="auto"/>
            </w:tcBorders>
            <w:hideMark/>
          </w:tcPr>
          <w:p w14:paraId="38850CF8" w14:textId="7EBE0EE9" w:rsidR="0070526D" w:rsidRPr="00DE329E" w:rsidRDefault="0029401F" w:rsidP="009F6CDC">
            <w:pPr>
              <w:spacing w:before="100" w:beforeAutospacing="1" w:after="100" w:afterAutospacing="1"/>
              <w:ind w:firstLine="268"/>
              <w:rPr>
                <w:rFonts w:eastAsia="Times New Roman" w:cs="Times New Roman"/>
                <w:sz w:val="24"/>
                <w:szCs w:val="24"/>
                <w:lang w:eastAsia="lv-LV"/>
              </w:rPr>
            </w:pPr>
            <w:r w:rsidRPr="00DE329E">
              <w:rPr>
                <w:rFonts w:eastAsia="Times New Roman" w:cs="Times New Roman"/>
                <w:sz w:val="24"/>
                <w:szCs w:val="24"/>
                <w:lang w:eastAsia="lv-LV"/>
              </w:rPr>
              <w:t>Ja iesniegtie darbības programmas grozījumi saistībā ar pasākumu netiks akceptēti Eiropas Komisijā, tad pieņemt</w:t>
            </w:r>
            <w:r w:rsidR="009F6CDC" w:rsidRPr="00DE329E">
              <w:rPr>
                <w:rFonts w:eastAsia="Times New Roman" w:cs="Times New Roman"/>
                <w:sz w:val="24"/>
                <w:szCs w:val="24"/>
                <w:lang w:eastAsia="lv-LV"/>
              </w:rPr>
              <w:t>ie</w:t>
            </w:r>
            <w:r w:rsidRPr="00DE329E">
              <w:rPr>
                <w:rFonts w:eastAsia="Times New Roman" w:cs="Times New Roman"/>
                <w:sz w:val="24"/>
                <w:szCs w:val="24"/>
                <w:lang w:eastAsia="lv-LV"/>
              </w:rPr>
              <w:t xml:space="preserve"> MK noteikum</w:t>
            </w:r>
            <w:r w:rsidR="009F6CDC" w:rsidRPr="00DE329E">
              <w:rPr>
                <w:rFonts w:eastAsia="Times New Roman" w:cs="Times New Roman"/>
                <w:sz w:val="24"/>
                <w:szCs w:val="24"/>
                <w:lang w:eastAsia="lv-LV"/>
              </w:rPr>
              <w:t>i tiks atzīti</w:t>
            </w:r>
            <w:r w:rsidRPr="00DE329E">
              <w:rPr>
                <w:rFonts w:eastAsia="Times New Roman" w:cs="Times New Roman"/>
                <w:sz w:val="24"/>
                <w:szCs w:val="24"/>
                <w:lang w:eastAsia="lv-LV"/>
              </w:rPr>
              <w:t xml:space="preserve"> par spēku zaudējušiem.</w:t>
            </w:r>
          </w:p>
        </w:tc>
      </w:tr>
    </w:tbl>
    <w:p w14:paraId="38850CFA" w14:textId="23D93D7C" w:rsidR="0070526D" w:rsidRPr="00DE329E" w:rsidRDefault="0070526D" w:rsidP="00115E82">
      <w:pPr>
        <w:rPr>
          <w:rFonts w:eastAsia="Times New Roman" w:cs="Times New Roman"/>
          <w:sz w:val="16"/>
          <w:szCs w:val="16"/>
          <w:lang w:eastAsia="lv-LV"/>
        </w:rPr>
      </w:pPr>
    </w:p>
    <w:p w14:paraId="6018708C" w14:textId="47293A61" w:rsidR="005438E9" w:rsidRPr="00DE329E" w:rsidRDefault="005438E9" w:rsidP="00115E82">
      <w:pPr>
        <w:rPr>
          <w:rFonts w:eastAsia="Times New Roman" w:cs="Times New Roman"/>
          <w:sz w:val="16"/>
          <w:szCs w:val="16"/>
          <w:lang w:eastAsia="lv-LV"/>
        </w:rPr>
      </w:pPr>
    </w:p>
    <w:p w14:paraId="13B1832B" w14:textId="7D2A465F" w:rsidR="00087D31" w:rsidRPr="00DE329E" w:rsidRDefault="00087D31">
      <w:pPr>
        <w:rPr>
          <w:rFonts w:eastAsia="Times New Roman" w:cs="Times New Roman"/>
          <w:sz w:val="16"/>
          <w:szCs w:val="16"/>
          <w:lang w:eastAsia="lv-LV"/>
        </w:rPr>
      </w:pPr>
      <w:r w:rsidRPr="00DE329E">
        <w:rPr>
          <w:rFonts w:eastAsia="Times New Roman" w:cs="Times New Roman"/>
          <w:sz w:val="16"/>
          <w:szCs w:val="16"/>
          <w:lang w:eastAsia="lv-LV"/>
        </w:rPr>
        <w:br w:type="page"/>
      </w:r>
    </w:p>
    <w:p w14:paraId="59DAA518" w14:textId="77777777" w:rsidR="005438E9" w:rsidRPr="00DE329E" w:rsidRDefault="005438E9" w:rsidP="00115E82">
      <w:pPr>
        <w:rPr>
          <w:rFonts w:eastAsia="Times New Roman" w:cs="Times New Roman"/>
          <w:sz w:val="16"/>
          <w:szCs w:val="16"/>
          <w:lang w:eastAsia="lv-LV"/>
        </w:rPr>
      </w:pPr>
    </w:p>
    <w:tbl>
      <w:tblPr>
        <w:tblW w:w="978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
        <w:gridCol w:w="2977"/>
        <w:gridCol w:w="6379"/>
      </w:tblGrid>
      <w:tr w:rsidR="00DE329E" w:rsidRPr="00DE329E" w14:paraId="38850CFC" w14:textId="77777777" w:rsidTr="005A3AEA">
        <w:trPr>
          <w:tblCellSpacing w:w="0" w:type="dxa"/>
          <w:jc w:val="center"/>
        </w:trPr>
        <w:tc>
          <w:tcPr>
            <w:tcW w:w="9782" w:type="dxa"/>
            <w:gridSpan w:val="3"/>
            <w:tcBorders>
              <w:top w:val="outset" w:sz="6" w:space="0" w:color="auto"/>
              <w:left w:val="outset" w:sz="6" w:space="0" w:color="auto"/>
              <w:bottom w:val="outset" w:sz="6" w:space="0" w:color="auto"/>
              <w:right w:val="outset" w:sz="6" w:space="0" w:color="auto"/>
            </w:tcBorders>
            <w:vAlign w:val="center"/>
            <w:hideMark/>
          </w:tcPr>
          <w:p w14:paraId="38850CFB" w14:textId="77777777" w:rsidR="00062334" w:rsidRPr="00DE329E" w:rsidRDefault="0070526D" w:rsidP="007553A8">
            <w:pPr>
              <w:spacing w:before="100" w:beforeAutospacing="1" w:after="100" w:afterAutospacing="1"/>
              <w:jc w:val="center"/>
              <w:rPr>
                <w:rFonts w:eastAsia="Times New Roman" w:cs="Times New Roman"/>
                <w:b/>
                <w:sz w:val="24"/>
                <w:szCs w:val="24"/>
                <w:lang w:eastAsia="lv-LV"/>
              </w:rPr>
            </w:pPr>
            <w:r w:rsidRPr="00DE329E">
              <w:rPr>
                <w:rFonts w:eastAsia="Times New Roman" w:cs="Times New Roman"/>
                <w:b/>
                <w:sz w:val="24"/>
                <w:szCs w:val="24"/>
                <w:lang w:eastAsia="lv-LV"/>
              </w:rPr>
              <w:t xml:space="preserve">II. </w:t>
            </w:r>
            <w:r w:rsidR="00222330" w:rsidRPr="00DE329E">
              <w:rPr>
                <w:rFonts w:eastAsia="Times New Roman" w:cs="Times New Roman"/>
                <w:b/>
                <w:bCs/>
                <w:sz w:val="24"/>
                <w:szCs w:val="24"/>
                <w:lang w:eastAsia="lv-LV"/>
              </w:rPr>
              <w:t>Tiesību akta projekta ietekme uz sabiedrību, tautsaimniecības attīstību un administratīvo slogu</w:t>
            </w:r>
          </w:p>
        </w:tc>
      </w:tr>
      <w:tr w:rsidR="00DE329E" w:rsidRPr="00DE329E" w14:paraId="38850D00" w14:textId="77777777" w:rsidTr="005A3AEA">
        <w:trPr>
          <w:trHeight w:val="276"/>
          <w:tblCellSpacing w:w="0" w:type="dxa"/>
          <w:jc w:val="center"/>
        </w:trPr>
        <w:tc>
          <w:tcPr>
            <w:tcW w:w="426" w:type="dxa"/>
            <w:tcBorders>
              <w:top w:val="outset" w:sz="6" w:space="0" w:color="auto"/>
              <w:left w:val="outset" w:sz="6" w:space="0" w:color="auto"/>
              <w:bottom w:val="outset" w:sz="6" w:space="0" w:color="auto"/>
              <w:right w:val="outset" w:sz="6" w:space="0" w:color="auto"/>
            </w:tcBorders>
            <w:hideMark/>
          </w:tcPr>
          <w:p w14:paraId="38850CFD" w14:textId="77777777" w:rsidR="0070526D" w:rsidRPr="00DE329E" w:rsidRDefault="0070526D" w:rsidP="0070526D">
            <w:pPr>
              <w:spacing w:before="100" w:beforeAutospacing="1" w:after="100" w:afterAutospacing="1"/>
              <w:rPr>
                <w:rFonts w:eastAsia="Times New Roman" w:cs="Times New Roman"/>
                <w:sz w:val="24"/>
                <w:szCs w:val="24"/>
                <w:lang w:eastAsia="lv-LV"/>
              </w:rPr>
            </w:pPr>
            <w:r w:rsidRPr="00DE329E">
              <w:rPr>
                <w:rFonts w:eastAsia="Times New Roman" w:cs="Times New Roman"/>
                <w:sz w:val="24"/>
                <w:szCs w:val="24"/>
                <w:lang w:eastAsia="lv-LV"/>
              </w:rPr>
              <w:t> 1.</w:t>
            </w:r>
          </w:p>
        </w:tc>
        <w:tc>
          <w:tcPr>
            <w:tcW w:w="2977" w:type="dxa"/>
            <w:tcBorders>
              <w:top w:val="outset" w:sz="6" w:space="0" w:color="auto"/>
              <w:left w:val="outset" w:sz="6" w:space="0" w:color="auto"/>
              <w:bottom w:val="outset" w:sz="6" w:space="0" w:color="auto"/>
              <w:right w:val="outset" w:sz="6" w:space="0" w:color="auto"/>
            </w:tcBorders>
            <w:hideMark/>
          </w:tcPr>
          <w:p w14:paraId="38850CFE" w14:textId="77777777" w:rsidR="0070526D" w:rsidRPr="00DE329E" w:rsidRDefault="0070526D" w:rsidP="0070526D">
            <w:pPr>
              <w:spacing w:before="100" w:beforeAutospacing="1" w:after="100" w:afterAutospacing="1"/>
              <w:rPr>
                <w:rFonts w:eastAsia="Times New Roman" w:cs="Times New Roman"/>
                <w:sz w:val="24"/>
                <w:szCs w:val="24"/>
                <w:lang w:eastAsia="lv-LV"/>
              </w:rPr>
            </w:pPr>
            <w:r w:rsidRPr="00DE329E">
              <w:rPr>
                <w:rFonts w:eastAsia="Times New Roman" w:cs="Times New Roman"/>
                <w:sz w:val="24"/>
                <w:szCs w:val="24"/>
                <w:lang w:eastAsia="lv-LV"/>
              </w:rPr>
              <w:t> </w:t>
            </w:r>
            <w:r w:rsidR="00CD29CB" w:rsidRPr="00DE329E">
              <w:rPr>
                <w:rFonts w:eastAsia="Times New Roman" w:cs="Times New Roman"/>
                <w:sz w:val="24"/>
                <w:szCs w:val="24"/>
                <w:lang w:eastAsia="lv-LV"/>
              </w:rPr>
              <w:t>Sabiedrības mērķgrupas, kuras tiesiskais regulējums ietekmē vai varētu ietekmēt</w:t>
            </w:r>
          </w:p>
        </w:tc>
        <w:tc>
          <w:tcPr>
            <w:tcW w:w="6379" w:type="dxa"/>
            <w:tcBorders>
              <w:top w:val="outset" w:sz="6" w:space="0" w:color="auto"/>
              <w:left w:val="outset" w:sz="6" w:space="0" w:color="auto"/>
              <w:bottom w:val="outset" w:sz="6" w:space="0" w:color="auto"/>
              <w:right w:val="outset" w:sz="6" w:space="0" w:color="auto"/>
            </w:tcBorders>
            <w:hideMark/>
          </w:tcPr>
          <w:p w14:paraId="38850CFF" w14:textId="77777777" w:rsidR="0070526D" w:rsidRPr="00DE329E" w:rsidRDefault="00C61D1E" w:rsidP="00307B0B">
            <w:pPr>
              <w:spacing w:before="100" w:beforeAutospacing="1" w:after="100" w:afterAutospacing="1"/>
              <w:ind w:firstLine="268"/>
              <w:rPr>
                <w:rFonts w:eastAsia="Times New Roman" w:cs="Times New Roman"/>
                <w:sz w:val="24"/>
                <w:szCs w:val="24"/>
                <w:lang w:eastAsia="lv-LV"/>
              </w:rPr>
            </w:pPr>
            <w:r w:rsidRPr="00DE329E">
              <w:rPr>
                <w:rFonts w:eastAsia="Times New Roman" w:cs="Times New Roman"/>
                <w:sz w:val="24"/>
                <w:szCs w:val="24"/>
                <w:lang w:eastAsia="lv-LV"/>
              </w:rPr>
              <w:t>N</w:t>
            </w:r>
            <w:r w:rsidR="0034293C" w:rsidRPr="00DE329E">
              <w:rPr>
                <w:rFonts w:eastAsia="Times New Roman" w:cs="Times New Roman"/>
                <w:sz w:val="24"/>
                <w:szCs w:val="24"/>
                <w:lang w:eastAsia="lv-LV"/>
              </w:rPr>
              <w:t>oteikumu projektā ir iekļautas normas, kas attiecas uz Eiropas Savienības</w:t>
            </w:r>
            <w:r w:rsidR="00751650" w:rsidRPr="00DE329E">
              <w:rPr>
                <w:rFonts w:eastAsia="Times New Roman" w:cs="Times New Roman"/>
                <w:sz w:val="24"/>
                <w:szCs w:val="24"/>
                <w:lang w:eastAsia="lv-LV"/>
              </w:rPr>
              <w:t xml:space="preserve"> fondu finansējuma saņēmējiem</w:t>
            </w:r>
          </w:p>
        </w:tc>
      </w:tr>
      <w:tr w:rsidR="00DE329E" w:rsidRPr="00DE329E" w14:paraId="38850D04" w14:textId="77777777" w:rsidTr="005A3AEA">
        <w:trPr>
          <w:trHeight w:val="523"/>
          <w:tblCellSpacing w:w="0" w:type="dxa"/>
          <w:jc w:val="center"/>
        </w:trPr>
        <w:tc>
          <w:tcPr>
            <w:tcW w:w="426" w:type="dxa"/>
            <w:tcBorders>
              <w:top w:val="outset" w:sz="6" w:space="0" w:color="auto"/>
              <w:left w:val="outset" w:sz="6" w:space="0" w:color="auto"/>
              <w:bottom w:val="outset" w:sz="6" w:space="0" w:color="auto"/>
              <w:right w:val="outset" w:sz="6" w:space="0" w:color="auto"/>
            </w:tcBorders>
            <w:hideMark/>
          </w:tcPr>
          <w:p w14:paraId="38850D01" w14:textId="77777777" w:rsidR="0070526D" w:rsidRPr="00DE329E" w:rsidRDefault="0070526D" w:rsidP="0070526D">
            <w:pPr>
              <w:spacing w:before="100" w:beforeAutospacing="1" w:after="100" w:afterAutospacing="1"/>
              <w:rPr>
                <w:rFonts w:eastAsia="Times New Roman" w:cs="Times New Roman"/>
                <w:sz w:val="24"/>
                <w:szCs w:val="24"/>
                <w:lang w:eastAsia="lv-LV"/>
              </w:rPr>
            </w:pPr>
            <w:r w:rsidRPr="00DE329E">
              <w:rPr>
                <w:rFonts w:eastAsia="Times New Roman" w:cs="Times New Roman"/>
                <w:sz w:val="24"/>
                <w:szCs w:val="24"/>
                <w:lang w:eastAsia="lv-LV"/>
              </w:rPr>
              <w:t> 2.</w:t>
            </w:r>
          </w:p>
        </w:tc>
        <w:tc>
          <w:tcPr>
            <w:tcW w:w="2977" w:type="dxa"/>
            <w:tcBorders>
              <w:top w:val="outset" w:sz="6" w:space="0" w:color="auto"/>
              <w:left w:val="outset" w:sz="6" w:space="0" w:color="auto"/>
              <w:bottom w:val="outset" w:sz="6" w:space="0" w:color="auto"/>
              <w:right w:val="outset" w:sz="6" w:space="0" w:color="auto"/>
            </w:tcBorders>
            <w:hideMark/>
          </w:tcPr>
          <w:p w14:paraId="38850D02" w14:textId="77777777" w:rsidR="0070526D" w:rsidRPr="00DE329E" w:rsidRDefault="0070526D" w:rsidP="0070526D">
            <w:pPr>
              <w:spacing w:before="100" w:beforeAutospacing="1" w:after="100" w:afterAutospacing="1"/>
              <w:rPr>
                <w:rFonts w:eastAsia="Times New Roman" w:cs="Times New Roman"/>
                <w:sz w:val="24"/>
                <w:szCs w:val="24"/>
                <w:lang w:eastAsia="lv-LV"/>
              </w:rPr>
            </w:pPr>
            <w:r w:rsidRPr="00DE329E">
              <w:rPr>
                <w:rFonts w:eastAsia="Times New Roman" w:cs="Times New Roman"/>
                <w:sz w:val="24"/>
                <w:szCs w:val="24"/>
                <w:lang w:eastAsia="lv-LV"/>
              </w:rPr>
              <w:t> </w:t>
            </w:r>
            <w:r w:rsidR="00CD29CB" w:rsidRPr="00DE329E">
              <w:rPr>
                <w:rFonts w:eastAsia="Times New Roman" w:cs="Times New Roman"/>
                <w:sz w:val="24"/>
                <w:szCs w:val="24"/>
                <w:lang w:eastAsia="lv-LV"/>
              </w:rPr>
              <w:t>Tiesiskā regulējuma ietekme uz tautsaimniecību un administratīvo slogu</w:t>
            </w:r>
          </w:p>
        </w:tc>
        <w:tc>
          <w:tcPr>
            <w:tcW w:w="6379" w:type="dxa"/>
            <w:tcBorders>
              <w:top w:val="outset" w:sz="6" w:space="0" w:color="auto"/>
              <w:left w:val="outset" w:sz="6" w:space="0" w:color="auto"/>
              <w:bottom w:val="outset" w:sz="6" w:space="0" w:color="auto"/>
              <w:right w:val="outset" w:sz="6" w:space="0" w:color="auto"/>
            </w:tcBorders>
          </w:tcPr>
          <w:p w14:paraId="38850D03" w14:textId="531A916F" w:rsidR="00076B41" w:rsidRPr="00DE329E" w:rsidRDefault="00FC29B4" w:rsidP="00307B0B">
            <w:pPr>
              <w:ind w:firstLine="268"/>
              <w:rPr>
                <w:rFonts w:eastAsia="Times New Roman" w:cs="Times New Roman"/>
                <w:sz w:val="24"/>
                <w:szCs w:val="24"/>
                <w:lang w:eastAsia="lv-LV"/>
              </w:rPr>
            </w:pPr>
            <w:r w:rsidRPr="00DE329E">
              <w:rPr>
                <w:rFonts w:eastAsia="Times New Roman" w:cs="Times New Roman"/>
                <w:sz w:val="24"/>
                <w:szCs w:val="24"/>
                <w:lang w:eastAsia="lv-LV"/>
              </w:rPr>
              <w:t>Noteikumu p</w:t>
            </w:r>
            <w:r w:rsidR="00C61D1E" w:rsidRPr="00DE329E">
              <w:rPr>
                <w:rFonts w:eastAsia="Times New Roman" w:cs="Times New Roman"/>
                <w:sz w:val="24"/>
                <w:szCs w:val="24"/>
                <w:lang w:eastAsia="lv-LV"/>
              </w:rPr>
              <w:t>rojekts šo jomu neskar</w:t>
            </w:r>
          </w:p>
        </w:tc>
      </w:tr>
      <w:tr w:rsidR="00DE329E" w:rsidRPr="00DE329E" w14:paraId="38850D08" w14:textId="77777777" w:rsidTr="005A3AEA">
        <w:trPr>
          <w:trHeight w:val="517"/>
          <w:tblCellSpacing w:w="0" w:type="dxa"/>
          <w:jc w:val="center"/>
        </w:trPr>
        <w:tc>
          <w:tcPr>
            <w:tcW w:w="426" w:type="dxa"/>
            <w:tcBorders>
              <w:top w:val="outset" w:sz="6" w:space="0" w:color="auto"/>
              <w:left w:val="outset" w:sz="6" w:space="0" w:color="auto"/>
              <w:bottom w:val="outset" w:sz="6" w:space="0" w:color="auto"/>
              <w:right w:val="outset" w:sz="6" w:space="0" w:color="auto"/>
            </w:tcBorders>
            <w:hideMark/>
          </w:tcPr>
          <w:p w14:paraId="38850D05" w14:textId="77777777" w:rsidR="0070526D" w:rsidRPr="00DE329E" w:rsidRDefault="0070526D" w:rsidP="0070526D">
            <w:pPr>
              <w:spacing w:before="100" w:beforeAutospacing="1" w:after="100" w:afterAutospacing="1"/>
              <w:rPr>
                <w:rFonts w:eastAsia="Times New Roman" w:cs="Times New Roman"/>
                <w:sz w:val="24"/>
                <w:szCs w:val="24"/>
                <w:lang w:eastAsia="lv-LV"/>
              </w:rPr>
            </w:pPr>
            <w:r w:rsidRPr="00DE329E">
              <w:rPr>
                <w:rFonts w:eastAsia="Times New Roman" w:cs="Times New Roman"/>
                <w:sz w:val="24"/>
                <w:szCs w:val="24"/>
                <w:lang w:eastAsia="lv-LV"/>
              </w:rPr>
              <w:t> 3.</w:t>
            </w:r>
          </w:p>
        </w:tc>
        <w:tc>
          <w:tcPr>
            <w:tcW w:w="2977" w:type="dxa"/>
            <w:tcBorders>
              <w:top w:val="outset" w:sz="6" w:space="0" w:color="auto"/>
              <w:left w:val="outset" w:sz="6" w:space="0" w:color="auto"/>
              <w:bottom w:val="outset" w:sz="6" w:space="0" w:color="auto"/>
              <w:right w:val="outset" w:sz="6" w:space="0" w:color="auto"/>
            </w:tcBorders>
            <w:hideMark/>
          </w:tcPr>
          <w:p w14:paraId="38850D06" w14:textId="77777777" w:rsidR="0070526D" w:rsidRPr="00DE329E" w:rsidRDefault="0070526D" w:rsidP="0070526D">
            <w:pPr>
              <w:spacing w:before="100" w:beforeAutospacing="1" w:after="100" w:afterAutospacing="1"/>
              <w:rPr>
                <w:rFonts w:eastAsia="Times New Roman" w:cs="Times New Roman"/>
                <w:sz w:val="24"/>
                <w:szCs w:val="24"/>
                <w:lang w:eastAsia="lv-LV"/>
              </w:rPr>
            </w:pPr>
            <w:r w:rsidRPr="00DE329E">
              <w:rPr>
                <w:rFonts w:eastAsia="Times New Roman" w:cs="Times New Roman"/>
                <w:sz w:val="24"/>
                <w:szCs w:val="24"/>
                <w:lang w:eastAsia="lv-LV"/>
              </w:rPr>
              <w:t> </w:t>
            </w:r>
            <w:r w:rsidR="00D34375" w:rsidRPr="00DE329E">
              <w:rPr>
                <w:rFonts w:eastAsia="Times New Roman" w:cs="Times New Roman"/>
                <w:sz w:val="24"/>
                <w:szCs w:val="24"/>
                <w:lang w:eastAsia="lv-LV"/>
              </w:rPr>
              <w:t>Administratīvo izmaksu monetārs novērtējums</w:t>
            </w:r>
          </w:p>
        </w:tc>
        <w:tc>
          <w:tcPr>
            <w:tcW w:w="6379" w:type="dxa"/>
            <w:tcBorders>
              <w:top w:val="outset" w:sz="6" w:space="0" w:color="auto"/>
              <w:left w:val="outset" w:sz="6" w:space="0" w:color="auto"/>
              <w:bottom w:val="outset" w:sz="6" w:space="0" w:color="auto"/>
              <w:right w:val="outset" w:sz="6" w:space="0" w:color="auto"/>
            </w:tcBorders>
          </w:tcPr>
          <w:p w14:paraId="38850D07" w14:textId="0E3C35C3" w:rsidR="002D23CC" w:rsidRPr="00DE329E" w:rsidRDefault="00C61D1E" w:rsidP="00711F5C">
            <w:pPr>
              <w:ind w:firstLine="268"/>
              <w:jc w:val="both"/>
              <w:rPr>
                <w:rFonts w:eastAsia="Times New Roman"/>
                <w:b/>
                <w:sz w:val="24"/>
                <w:szCs w:val="24"/>
                <w:lang w:eastAsia="lv-LV"/>
              </w:rPr>
            </w:pPr>
            <w:r w:rsidRPr="00DE329E">
              <w:rPr>
                <w:rFonts w:eastAsia="Times New Roman" w:cs="Times New Roman"/>
                <w:sz w:val="24"/>
                <w:szCs w:val="24"/>
                <w:lang w:eastAsia="lv-LV"/>
              </w:rPr>
              <w:t>Noteikumu projekta ietvaros finansējuma saņēmējs sagatavo</w:t>
            </w:r>
            <w:r w:rsidR="00B433A0" w:rsidRPr="00DE329E">
              <w:rPr>
                <w:rFonts w:eastAsia="Times New Roman" w:cs="Times New Roman"/>
                <w:sz w:val="24"/>
                <w:szCs w:val="24"/>
                <w:lang w:eastAsia="lv-LV"/>
              </w:rPr>
              <w:t xml:space="preserve"> projekta grozījumus, samazinot projektā pieejamo finansējumu</w:t>
            </w:r>
            <w:r w:rsidRPr="00DE329E">
              <w:rPr>
                <w:rFonts w:eastAsia="Times New Roman" w:cs="Times New Roman"/>
                <w:sz w:val="24"/>
                <w:szCs w:val="24"/>
                <w:lang w:eastAsia="lv-LV"/>
              </w:rPr>
              <w:t xml:space="preserve">, kā arī </w:t>
            </w:r>
            <w:r w:rsidR="00970916" w:rsidRPr="00DE329E">
              <w:rPr>
                <w:rFonts w:eastAsia="Times New Roman" w:cs="Times New Roman"/>
                <w:sz w:val="24"/>
                <w:szCs w:val="24"/>
                <w:lang w:eastAsia="lv-LV"/>
              </w:rPr>
              <w:t xml:space="preserve">savā </w:t>
            </w:r>
            <w:r w:rsidRPr="00DE329E">
              <w:rPr>
                <w:rFonts w:eastAsia="Times New Roman" w:cs="Times New Roman"/>
                <w:sz w:val="24"/>
                <w:szCs w:val="24"/>
                <w:lang w:eastAsia="lv-LV"/>
              </w:rPr>
              <w:t xml:space="preserve">tīmekļvietnē vismaz reizi trijos mēnešos aktualizē informāciju par projektu, savukārt sadarbības iestāde iesniedz atbildīgajā iestādē saskaņošanai finansējuma saņēmēja iesniegtos grozījumus, kas skar būtiskus projekta īstenošanas jautājumus. </w:t>
            </w:r>
            <w:r w:rsidR="00542B50" w:rsidRPr="00DE329E">
              <w:rPr>
                <w:sz w:val="24"/>
                <w:szCs w:val="24"/>
              </w:rPr>
              <w:t>Ņemot vērā, ka atbilstoši aplēsēm noteikumu projektā ietverto prasību administratīvo izmaksu finansiālais novērtējums Eiropas Sociālā fonda projekta iesniedzējam un sadarbības partnerim gada laikā nepārsniedz 2</w:t>
            </w:r>
            <w:r w:rsidR="00711F5C">
              <w:rPr>
                <w:sz w:val="24"/>
                <w:szCs w:val="24"/>
              </w:rPr>
              <w:t> </w:t>
            </w:r>
            <w:r w:rsidR="00542B50" w:rsidRPr="00DE329E">
              <w:rPr>
                <w:sz w:val="24"/>
                <w:szCs w:val="24"/>
              </w:rPr>
              <w:t xml:space="preserve">000 </w:t>
            </w:r>
            <w:r w:rsidR="00542B50" w:rsidRPr="00DE329E">
              <w:rPr>
                <w:i/>
                <w:sz w:val="24"/>
                <w:szCs w:val="24"/>
              </w:rPr>
              <w:t>euro</w:t>
            </w:r>
            <w:r w:rsidR="00542B50" w:rsidRPr="00DE329E">
              <w:rPr>
                <w:sz w:val="24"/>
                <w:szCs w:val="24"/>
              </w:rPr>
              <w:t>, tad administratīvā sloga detalizēts monetā</w:t>
            </w:r>
            <w:r w:rsidR="00087D31" w:rsidRPr="00DE329E">
              <w:rPr>
                <w:sz w:val="24"/>
                <w:szCs w:val="24"/>
              </w:rPr>
              <w:t>rais novērtējums netiek veikts</w:t>
            </w:r>
          </w:p>
        </w:tc>
      </w:tr>
      <w:tr w:rsidR="00DE329E" w:rsidRPr="00DE329E" w14:paraId="38850D0C" w14:textId="77777777" w:rsidTr="005A3AEA">
        <w:trPr>
          <w:trHeight w:val="116"/>
          <w:tblCellSpacing w:w="0" w:type="dxa"/>
          <w:jc w:val="center"/>
        </w:trPr>
        <w:tc>
          <w:tcPr>
            <w:tcW w:w="426" w:type="dxa"/>
            <w:tcBorders>
              <w:top w:val="outset" w:sz="6" w:space="0" w:color="auto"/>
              <w:left w:val="outset" w:sz="6" w:space="0" w:color="auto"/>
              <w:bottom w:val="outset" w:sz="6" w:space="0" w:color="auto"/>
              <w:right w:val="outset" w:sz="6" w:space="0" w:color="auto"/>
            </w:tcBorders>
            <w:hideMark/>
          </w:tcPr>
          <w:p w14:paraId="38850D09" w14:textId="77777777" w:rsidR="0070526D" w:rsidRPr="00DE329E" w:rsidRDefault="0070526D" w:rsidP="0070526D">
            <w:pPr>
              <w:spacing w:before="100" w:beforeAutospacing="1" w:after="100" w:afterAutospacing="1"/>
              <w:rPr>
                <w:rFonts w:eastAsia="Times New Roman" w:cs="Times New Roman"/>
                <w:sz w:val="24"/>
                <w:szCs w:val="24"/>
                <w:lang w:eastAsia="lv-LV"/>
              </w:rPr>
            </w:pPr>
            <w:r w:rsidRPr="00DE329E">
              <w:rPr>
                <w:rFonts w:eastAsia="Times New Roman" w:cs="Times New Roman"/>
                <w:sz w:val="24"/>
                <w:szCs w:val="24"/>
                <w:lang w:eastAsia="lv-LV"/>
              </w:rPr>
              <w:t> 4.</w:t>
            </w:r>
          </w:p>
        </w:tc>
        <w:tc>
          <w:tcPr>
            <w:tcW w:w="2977" w:type="dxa"/>
            <w:tcBorders>
              <w:top w:val="outset" w:sz="6" w:space="0" w:color="auto"/>
              <w:left w:val="outset" w:sz="6" w:space="0" w:color="auto"/>
              <w:bottom w:val="outset" w:sz="6" w:space="0" w:color="auto"/>
              <w:right w:val="outset" w:sz="6" w:space="0" w:color="auto"/>
            </w:tcBorders>
            <w:hideMark/>
          </w:tcPr>
          <w:p w14:paraId="38850D0A" w14:textId="77777777" w:rsidR="0070526D" w:rsidRPr="00DE329E" w:rsidRDefault="0070526D" w:rsidP="0070526D">
            <w:pPr>
              <w:spacing w:before="100" w:beforeAutospacing="1" w:after="100" w:afterAutospacing="1"/>
              <w:rPr>
                <w:rFonts w:eastAsia="Times New Roman" w:cs="Times New Roman"/>
                <w:sz w:val="24"/>
                <w:szCs w:val="24"/>
                <w:lang w:eastAsia="lv-LV"/>
              </w:rPr>
            </w:pPr>
            <w:r w:rsidRPr="00DE329E">
              <w:rPr>
                <w:rFonts w:eastAsia="Times New Roman" w:cs="Times New Roman"/>
                <w:sz w:val="24"/>
                <w:szCs w:val="24"/>
                <w:lang w:eastAsia="lv-LV"/>
              </w:rPr>
              <w:t> </w:t>
            </w:r>
            <w:r w:rsidR="00D34375" w:rsidRPr="00DE329E">
              <w:rPr>
                <w:rFonts w:eastAsia="Times New Roman" w:cs="Times New Roman"/>
                <w:sz w:val="24"/>
                <w:szCs w:val="24"/>
                <w:lang w:eastAsia="lv-LV"/>
              </w:rPr>
              <w:t>Cita informācija</w:t>
            </w:r>
          </w:p>
        </w:tc>
        <w:tc>
          <w:tcPr>
            <w:tcW w:w="6379" w:type="dxa"/>
            <w:tcBorders>
              <w:top w:val="outset" w:sz="6" w:space="0" w:color="auto"/>
              <w:left w:val="outset" w:sz="6" w:space="0" w:color="auto"/>
              <w:bottom w:val="outset" w:sz="6" w:space="0" w:color="auto"/>
              <w:right w:val="outset" w:sz="6" w:space="0" w:color="auto"/>
            </w:tcBorders>
            <w:hideMark/>
          </w:tcPr>
          <w:p w14:paraId="38850D0B" w14:textId="77777777" w:rsidR="0070526D" w:rsidRPr="00DE329E" w:rsidRDefault="00AD6191" w:rsidP="00307B0B">
            <w:pPr>
              <w:spacing w:before="100" w:beforeAutospacing="1" w:after="100" w:afterAutospacing="1"/>
              <w:ind w:firstLine="268"/>
              <w:rPr>
                <w:rFonts w:eastAsia="Times New Roman" w:cs="Times New Roman"/>
                <w:sz w:val="24"/>
                <w:szCs w:val="24"/>
                <w:lang w:eastAsia="lv-LV"/>
              </w:rPr>
            </w:pPr>
            <w:r w:rsidRPr="00DE329E">
              <w:rPr>
                <w:rFonts w:eastAsia="Times New Roman" w:cs="Times New Roman"/>
                <w:sz w:val="24"/>
                <w:szCs w:val="24"/>
                <w:lang w:eastAsia="lv-LV"/>
              </w:rPr>
              <w:t>Nav</w:t>
            </w:r>
          </w:p>
        </w:tc>
      </w:tr>
    </w:tbl>
    <w:p w14:paraId="5EC68892" w14:textId="0EDE06D8" w:rsidR="008F7BEC" w:rsidRPr="00E22A5E" w:rsidRDefault="0070526D" w:rsidP="00E22A5E">
      <w:pPr>
        <w:rPr>
          <w:rFonts w:eastAsia="Times New Roman" w:cs="Times New Roman"/>
          <w:sz w:val="16"/>
          <w:szCs w:val="16"/>
          <w:lang w:eastAsia="lv-LV"/>
        </w:rPr>
      </w:pPr>
      <w:r w:rsidRPr="00DE329E">
        <w:rPr>
          <w:rFonts w:eastAsia="Times New Roman" w:cs="Times New Roman"/>
          <w:sz w:val="16"/>
          <w:szCs w:val="16"/>
          <w:lang w:eastAsia="lv-LV"/>
        </w:rPr>
        <w:t> </w:t>
      </w:r>
    </w:p>
    <w:tbl>
      <w:tblPr>
        <w:tblpPr w:leftFromText="180" w:rightFromText="180" w:vertAnchor="text" w:horzAnchor="margin" w:tblpXSpec="center" w:tblpY="23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276"/>
        <w:gridCol w:w="1417"/>
        <w:gridCol w:w="1542"/>
        <w:gridCol w:w="1800"/>
        <w:gridCol w:w="1903"/>
      </w:tblGrid>
      <w:tr w:rsidR="00DE329E" w:rsidRPr="00DE329E" w14:paraId="38850D10" w14:textId="77777777" w:rsidTr="00D708EB">
        <w:trPr>
          <w:trHeight w:val="274"/>
        </w:trPr>
        <w:tc>
          <w:tcPr>
            <w:tcW w:w="9889" w:type="dxa"/>
            <w:gridSpan w:val="6"/>
            <w:vAlign w:val="center"/>
          </w:tcPr>
          <w:p w14:paraId="38850D0F" w14:textId="1938E3D7" w:rsidR="008F7BEC" w:rsidRPr="00DE329E" w:rsidRDefault="008F7BEC" w:rsidP="008F7BEC">
            <w:pPr>
              <w:pStyle w:val="naisnod"/>
              <w:spacing w:before="0" w:beforeAutospacing="0" w:after="0" w:afterAutospacing="0"/>
              <w:jc w:val="center"/>
              <w:rPr>
                <w:b/>
                <w:i/>
              </w:rPr>
            </w:pPr>
            <w:r w:rsidRPr="00DE329E">
              <w:br w:type="page"/>
            </w:r>
            <w:r w:rsidRPr="00DE329E">
              <w:rPr>
                <w:b/>
              </w:rPr>
              <w:t>III. Tiesību akta projekta ietekme uz valsts budžetu un pašvaldību budžetiem</w:t>
            </w:r>
          </w:p>
        </w:tc>
      </w:tr>
      <w:tr w:rsidR="00DE329E" w:rsidRPr="00DE329E" w14:paraId="38850D14" w14:textId="77777777" w:rsidTr="00D708EB">
        <w:trPr>
          <w:trHeight w:val="20"/>
        </w:trPr>
        <w:tc>
          <w:tcPr>
            <w:tcW w:w="1951" w:type="dxa"/>
            <w:vMerge w:val="restart"/>
            <w:vAlign w:val="center"/>
          </w:tcPr>
          <w:p w14:paraId="38850D11" w14:textId="77777777" w:rsidR="008F7BEC" w:rsidRPr="00DE329E" w:rsidRDefault="008F7BEC" w:rsidP="008F7BEC">
            <w:pPr>
              <w:pStyle w:val="naisf"/>
              <w:spacing w:before="0" w:beforeAutospacing="0" w:after="0" w:afterAutospacing="0"/>
              <w:jc w:val="center"/>
            </w:pPr>
            <w:r w:rsidRPr="00DE329E">
              <w:t>Rādītāji</w:t>
            </w:r>
          </w:p>
        </w:tc>
        <w:tc>
          <w:tcPr>
            <w:tcW w:w="2693" w:type="dxa"/>
            <w:gridSpan w:val="2"/>
            <w:vMerge w:val="restart"/>
            <w:vAlign w:val="center"/>
          </w:tcPr>
          <w:p w14:paraId="38850D12" w14:textId="7CC53420" w:rsidR="008F7BEC" w:rsidRPr="00DE329E" w:rsidRDefault="008F7BEC" w:rsidP="00D708EB">
            <w:pPr>
              <w:pStyle w:val="naisf"/>
              <w:spacing w:before="0" w:beforeAutospacing="0" w:after="0" w:afterAutospacing="0"/>
              <w:jc w:val="center"/>
            </w:pPr>
            <w:r w:rsidRPr="00DE329E">
              <w:t>201</w:t>
            </w:r>
            <w:r w:rsidR="00510B9D" w:rsidRPr="00DE329E">
              <w:t>7</w:t>
            </w:r>
            <w:r w:rsidR="00D708EB">
              <w:t xml:space="preserve"> </w:t>
            </w:r>
          </w:p>
        </w:tc>
        <w:tc>
          <w:tcPr>
            <w:tcW w:w="5245" w:type="dxa"/>
            <w:gridSpan w:val="3"/>
            <w:vAlign w:val="center"/>
          </w:tcPr>
          <w:p w14:paraId="38850D13" w14:textId="77777777" w:rsidR="008F7BEC" w:rsidRPr="00DE329E" w:rsidRDefault="008F7BEC" w:rsidP="008F7BEC">
            <w:pPr>
              <w:pStyle w:val="naisf"/>
              <w:spacing w:before="0" w:beforeAutospacing="0" w:after="0" w:afterAutospacing="0"/>
              <w:jc w:val="center"/>
              <w:rPr>
                <w:i/>
              </w:rPr>
            </w:pPr>
            <w:r w:rsidRPr="00DE329E">
              <w:t>Turpmākie trīs gadi (</w:t>
            </w:r>
            <w:r w:rsidRPr="00DE329E">
              <w:rPr>
                <w:i/>
              </w:rPr>
              <w:t>euro</w:t>
            </w:r>
            <w:r w:rsidRPr="00DE329E">
              <w:t>)</w:t>
            </w:r>
          </w:p>
        </w:tc>
      </w:tr>
      <w:tr w:rsidR="00DE329E" w:rsidRPr="00DE329E" w14:paraId="38850D1A" w14:textId="77777777" w:rsidTr="00D708EB">
        <w:trPr>
          <w:trHeight w:val="20"/>
        </w:trPr>
        <w:tc>
          <w:tcPr>
            <w:tcW w:w="1951" w:type="dxa"/>
            <w:vMerge/>
            <w:vAlign w:val="center"/>
          </w:tcPr>
          <w:p w14:paraId="38850D15" w14:textId="77777777" w:rsidR="008F7BEC" w:rsidRPr="00DE329E" w:rsidRDefault="008F7BEC" w:rsidP="008F7BEC">
            <w:pPr>
              <w:pStyle w:val="naisf"/>
              <w:spacing w:before="0" w:beforeAutospacing="0" w:after="0" w:afterAutospacing="0"/>
              <w:jc w:val="center"/>
              <w:rPr>
                <w:i/>
              </w:rPr>
            </w:pPr>
          </w:p>
        </w:tc>
        <w:tc>
          <w:tcPr>
            <w:tcW w:w="2693" w:type="dxa"/>
            <w:gridSpan w:val="2"/>
            <w:vMerge/>
            <w:vAlign w:val="center"/>
          </w:tcPr>
          <w:p w14:paraId="38850D16" w14:textId="77777777" w:rsidR="008F7BEC" w:rsidRPr="00DE329E" w:rsidRDefault="008F7BEC" w:rsidP="008F7BEC">
            <w:pPr>
              <w:pStyle w:val="naisf"/>
              <w:spacing w:before="0" w:beforeAutospacing="0" w:after="0" w:afterAutospacing="0"/>
              <w:jc w:val="center"/>
              <w:rPr>
                <w:i/>
              </w:rPr>
            </w:pPr>
          </w:p>
        </w:tc>
        <w:tc>
          <w:tcPr>
            <w:tcW w:w="1542" w:type="dxa"/>
            <w:vAlign w:val="center"/>
          </w:tcPr>
          <w:p w14:paraId="38850D17" w14:textId="657F5D9B" w:rsidR="008F7BEC" w:rsidRPr="00DE329E" w:rsidRDefault="008F7BEC" w:rsidP="00D708EB">
            <w:pPr>
              <w:pStyle w:val="naisf"/>
              <w:spacing w:before="0" w:beforeAutospacing="0" w:after="0" w:afterAutospacing="0"/>
              <w:jc w:val="center"/>
              <w:rPr>
                <w:i/>
              </w:rPr>
            </w:pPr>
            <w:r w:rsidRPr="00DE329E">
              <w:t>201</w:t>
            </w:r>
            <w:r w:rsidR="00510B9D" w:rsidRPr="00DE329E">
              <w:t>8</w:t>
            </w:r>
          </w:p>
        </w:tc>
        <w:tc>
          <w:tcPr>
            <w:tcW w:w="1800" w:type="dxa"/>
            <w:vAlign w:val="center"/>
          </w:tcPr>
          <w:p w14:paraId="38850D18" w14:textId="31873DB6" w:rsidR="008F7BEC" w:rsidRPr="00DE329E" w:rsidRDefault="008F7BEC" w:rsidP="00D708EB">
            <w:pPr>
              <w:pStyle w:val="naisf"/>
              <w:spacing w:before="0" w:beforeAutospacing="0" w:after="0" w:afterAutospacing="0"/>
              <w:jc w:val="center"/>
              <w:rPr>
                <w:i/>
              </w:rPr>
            </w:pPr>
            <w:r w:rsidRPr="00DE329E">
              <w:t>201</w:t>
            </w:r>
            <w:r w:rsidR="00510B9D" w:rsidRPr="00DE329E">
              <w:t>9</w:t>
            </w:r>
          </w:p>
        </w:tc>
        <w:tc>
          <w:tcPr>
            <w:tcW w:w="1903" w:type="dxa"/>
            <w:vAlign w:val="center"/>
          </w:tcPr>
          <w:p w14:paraId="38850D19" w14:textId="78A90312" w:rsidR="008F7BEC" w:rsidRPr="00DE329E" w:rsidRDefault="008F7BEC" w:rsidP="00D708EB">
            <w:pPr>
              <w:pStyle w:val="naisf"/>
              <w:spacing w:before="0" w:beforeAutospacing="0" w:after="0" w:afterAutospacing="0"/>
              <w:jc w:val="center"/>
              <w:rPr>
                <w:i/>
              </w:rPr>
            </w:pPr>
            <w:r w:rsidRPr="00DE329E">
              <w:t>20</w:t>
            </w:r>
            <w:r w:rsidR="00510B9D" w:rsidRPr="00DE329E">
              <w:t>20</w:t>
            </w:r>
          </w:p>
        </w:tc>
      </w:tr>
      <w:tr w:rsidR="00DE329E" w:rsidRPr="00DE329E" w14:paraId="38850D21" w14:textId="77777777" w:rsidTr="00D708EB">
        <w:trPr>
          <w:trHeight w:val="20"/>
        </w:trPr>
        <w:tc>
          <w:tcPr>
            <w:tcW w:w="1951" w:type="dxa"/>
            <w:vMerge/>
            <w:vAlign w:val="center"/>
          </w:tcPr>
          <w:p w14:paraId="38850D1B" w14:textId="77777777" w:rsidR="008F7BEC" w:rsidRPr="00DE329E" w:rsidRDefault="008F7BEC" w:rsidP="008F7BEC">
            <w:pPr>
              <w:pStyle w:val="naisf"/>
              <w:spacing w:before="0" w:beforeAutospacing="0" w:after="0" w:afterAutospacing="0"/>
              <w:jc w:val="center"/>
              <w:rPr>
                <w:b/>
                <w:i/>
              </w:rPr>
            </w:pPr>
          </w:p>
        </w:tc>
        <w:tc>
          <w:tcPr>
            <w:tcW w:w="1276" w:type="dxa"/>
            <w:vAlign w:val="center"/>
          </w:tcPr>
          <w:p w14:paraId="38850D1C" w14:textId="77777777" w:rsidR="008F7BEC" w:rsidRPr="00DE329E" w:rsidRDefault="008F7BEC" w:rsidP="008F7BEC">
            <w:pPr>
              <w:pStyle w:val="naisf"/>
              <w:spacing w:before="0" w:beforeAutospacing="0" w:after="0" w:afterAutospacing="0"/>
              <w:jc w:val="center"/>
              <w:rPr>
                <w:b/>
                <w:i/>
              </w:rPr>
            </w:pPr>
            <w:r w:rsidRPr="00DE329E">
              <w:t>saskaņā ar valsts budžetu kārtējam gadam</w:t>
            </w:r>
          </w:p>
        </w:tc>
        <w:tc>
          <w:tcPr>
            <w:tcW w:w="1417" w:type="dxa"/>
            <w:vAlign w:val="center"/>
          </w:tcPr>
          <w:p w14:paraId="38850D1D" w14:textId="77777777" w:rsidR="008F7BEC" w:rsidRPr="00DE329E" w:rsidRDefault="008F7BEC" w:rsidP="008F7BEC">
            <w:pPr>
              <w:pStyle w:val="naisf"/>
              <w:spacing w:before="0" w:beforeAutospacing="0" w:after="0" w:afterAutospacing="0"/>
              <w:jc w:val="center"/>
              <w:rPr>
                <w:b/>
                <w:i/>
                <w:spacing w:val="-6"/>
              </w:rPr>
            </w:pPr>
            <w:r w:rsidRPr="00DE329E">
              <w:rPr>
                <w:spacing w:val="-6"/>
              </w:rPr>
              <w:t>izmaiņas kārtējā gadā, salīdzinot ar valsts budžetu kārtējam gadam</w:t>
            </w:r>
          </w:p>
        </w:tc>
        <w:tc>
          <w:tcPr>
            <w:tcW w:w="1542" w:type="dxa"/>
            <w:vAlign w:val="center"/>
          </w:tcPr>
          <w:p w14:paraId="38850D1E" w14:textId="06E7D12A" w:rsidR="008F7BEC" w:rsidRPr="00DE329E" w:rsidRDefault="008F7BEC" w:rsidP="00D708EB">
            <w:pPr>
              <w:pStyle w:val="naisf"/>
              <w:spacing w:before="0" w:beforeAutospacing="0" w:after="0" w:afterAutospacing="0"/>
              <w:jc w:val="center"/>
              <w:rPr>
                <w:b/>
                <w:i/>
              </w:rPr>
            </w:pPr>
            <w:r w:rsidRPr="00DE329E">
              <w:t xml:space="preserve">izmaiņas, salīdzinot ar </w:t>
            </w:r>
            <w:r w:rsidR="00D708EB">
              <w:t>2017.</w:t>
            </w:r>
            <w:r w:rsidRPr="00DE329E">
              <w:t xml:space="preserve"> gadu</w:t>
            </w:r>
          </w:p>
        </w:tc>
        <w:tc>
          <w:tcPr>
            <w:tcW w:w="1800" w:type="dxa"/>
            <w:vAlign w:val="center"/>
          </w:tcPr>
          <w:p w14:paraId="38850D1F" w14:textId="064FE2E5" w:rsidR="008F7BEC" w:rsidRPr="00DE329E" w:rsidRDefault="008F7BEC" w:rsidP="008F7BEC">
            <w:pPr>
              <w:pStyle w:val="naisf"/>
              <w:spacing w:before="0" w:beforeAutospacing="0" w:after="0" w:afterAutospacing="0"/>
              <w:jc w:val="center"/>
              <w:rPr>
                <w:b/>
                <w:i/>
              </w:rPr>
            </w:pPr>
            <w:r w:rsidRPr="00DE329E">
              <w:t xml:space="preserve">izmaiņas, salīdzinot ar </w:t>
            </w:r>
            <w:r w:rsidR="00D708EB">
              <w:t xml:space="preserve">2017. </w:t>
            </w:r>
            <w:r w:rsidRPr="00DE329E">
              <w:t>gadu</w:t>
            </w:r>
          </w:p>
        </w:tc>
        <w:tc>
          <w:tcPr>
            <w:tcW w:w="1903" w:type="dxa"/>
            <w:vAlign w:val="center"/>
          </w:tcPr>
          <w:p w14:paraId="38850D20" w14:textId="41C02C3B" w:rsidR="008F7BEC" w:rsidRPr="00DE329E" w:rsidRDefault="008F7BEC" w:rsidP="008F7BEC">
            <w:pPr>
              <w:pStyle w:val="naisf"/>
              <w:spacing w:before="0" w:beforeAutospacing="0" w:after="0" w:afterAutospacing="0"/>
              <w:jc w:val="center"/>
              <w:rPr>
                <w:b/>
                <w:i/>
              </w:rPr>
            </w:pPr>
            <w:r w:rsidRPr="00DE329E">
              <w:t xml:space="preserve">izmaiņas, salīdzinot ar </w:t>
            </w:r>
            <w:r w:rsidR="00D708EB">
              <w:t xml:space="preserve">2017. </w:t>
            </w:r>
            <w:r w:rsidRPr="00DE329E">
              <w:t>gadu</w:t>
            </w:r>
          </w:p>
        </w:tc>
      </w:tr>
      <w:tr w:rsidR="00DE329E" w:rsidRPr="00DE329E" w14:paraId="38850D28" w14:textId="77777777" w:rsidTr="00D708EB">
        <w:trPr>
          <w:trHeight w:val="20"/>
        </w:trPr>
        <w:tc>
          <w:tcPr>
            <w:tcW w:w="1951" w:type="dxa"/>
            <w:vAlign w:val="center"/>
          </w:tcPr>
          <w:p w14:paraId="38850D22" w14:textId="77777777" w:rsidR="008F7BEC" w:rsidRPr="00DE329E" w:rsidRDefault="008F7BEC" w:rsidP="008F7BEC">
            <w:pPr>
              <w:pStyle w:val="naisf"/>
              <w:spacing w:before="0" w:beforeAutospacing="0" w:after="0" w:afterAutospacing="0"/>
              <w:jc w:val="center"/>
              <w:rPr>
                <w:sz w:val="22"/>
              </w:rPr>
            </w:pPr>
            <w:r w:rsidRPr="00DE329E">
              <w:rPr>
                <w:sz w:val="22"/>
              </w:rPr>
              <w:t>1</w:t>
            </w:r>
          </w:p>
        </w:tc>
        <w:tc>
          <w:tcPr>
            <w:tcW w:w="1276" w:type="dxa"/>
            <w:vAlign w:val="center"/>
          </w:tcPr>
          <w:p w14:paraId="38850D23" w14:textId="77777777" w:rsidR="008F7BEC" w:rsidRPr="00DE329E" w:rsidRDefault="008F7BEC" w:rsidP="008F7BEC">
            <w:pPr>
              <w:pStyle w:val="naisf"/>
              <w:spacing w:before="0" w:beforeAutospacing="0" w:after="0" w:afterAutospacing="0"/>
              <w:jc w:val="center"/>
              <w:rPr>
                <w:sz w:val="22"/>
              </w:rPr>
            </w:pPr>
            <w:r w:rsidRPr="00DE329E">
              <w:rPr>
                <w:sz w:val="22"/>
              </w:rPr>
              <w:t>2</w:t>
            </w:r>
          </w:p>
        </w:tc>
        <w:tc>
          <w:tcPr>
            <w:tcW w:w="1417" w:type="dxa"/>
            <w:vAlign w:val="center"/>
          </w:tcPr>
          <w:p w14:paraId="38850D24" w14:textId="77777777" w:rsidR="008F7BEC" w:rsidRPr="00DE329E" w:rsidRDefault="008F7BEC" w:rsidP="008F7BEC">
            <w:pPr>
              <w:pStyle w:val="naisf"/>
              <w:spacing w:before="0" w:beforeAutospacing="0" w:after="0" w:afterAutospacing="0"/>
              <w:jc w:val="center"/>
              <w:rPr>
                <w:sz w:val="22"/>
              </w:rPr>
            </w:pPr>
            <w:r w:rsidRPr="00DE329E">
              <w:rPr>
                <w:sz w:val="22"/>
              </w:rPr>
              <w:t>3</w:t>
            </w:r>
          </w:p>
        </w:tc>
        <w:tc>
          <w:tcPr>
            <w:tcW w:w="1542" w:type="dxa"/>
            <w:vAlign w:val="center"/>
          </w:tcPr>
          <w:p w14:paraId="38850D25" w14:textId="77777777" w:rsidR="008F7BEC" w:rsidRPr="00DE329E" w:rsidRDefault="008F7BEC" w:rsidP="008F7BEC">
            <w:pPr>
              <w:pStyle w:val="naisf"/>
              <w:spacing w:before="0" w:beforeAutospacing="0" w:after="0" w:afterAutospacing="0"/>
              <w:jc w:val="center"/>
              <w:rPr>
                <w:sz w:val="22"/>
              </w:rPr>
            </w:pPr>
            <w:r w:rsidRPr="00DE329E">
              <w:rPr>
                <w:sz w:val="22"/>
              </w:rPr>
              <w:t>4</w:t>
            </w:r>
          </w:p>
        </w:tc>
        <w:tc>
          <w:tcPr>
            <w:tcW w:w="1800" w:type="dxa"/>
            <w:vAlign w:val="center"/>
          </w:tcPr>
          <w:p w14:paraId="38850D26" w14:textId="77777777" w:rsidR="008F7BEC" w:rsidRPr="00DE329E" w:rsidRDefault="008F7BEC" w:rsidP="008F7BEC">
            <w:pPr>
              <w:pStyle w:val="naisf"/>
              <w:spacing w:before="0" w:beforeAutospacing="0" w:after="0" w:afterAutospacing="0"/>
              <w:jc w:val="center"/>
              <w:rPr>
                <w:sz w:val="22"/>
              </w:rPr>
            </w:pPr>
            <w:r w:rsidRPr="00DE329E">
              <w:rPr>
                <w:sz w:val="22"/>
              </w:rPr>
              <w:t>5</w:t>
            </w:r>
          </w:p>
        </w:tc>
        <w:tc>
          <w:tcPr>
            <w:tcW w:w="1903" w:type="dxa"/>
            <w:vAlign w:val="center"/>
          </w:tcPr>
          <w:p w14:paraId="38850D27" w14:textId="77777777" w:rsidR="008F7BEC" w:rsidRPr="00DE329E" w:rsidRDefault="008F7BEC" w:rsidP="008F7BEC">
            <w:pPr>
              <w:pStyle w:val="naisf"/>
              <w:spacing w:before="0" w:beforeAutospacing="0" w:after="0" w:afterAutospacing="0"/>
              <w:jc w:val="center"/>
              <w:rPr>
                <w:sz w:val="22"/>
              </w:rPr>
            </w:pPr>
            <w:r w:rsidRPr="00DE329E">
              <w:rPr>
                <w:sz w:val="22"/>
              </w:rPr>
              <w:t>6</w:t>
            </w:r>
          </w:p>
        </w:tc>
      </w:tr>
      <w:tr w:rsidR="00103F79" w:rsidRPr="00DE329E" w14:paraId="38850D30" w14:textId="77777777" w:rsidTr="00D708EB">
        <w:trPr>
          <w:trHeight w:val="20"/>
        </w:trPr>
        <w:tc>
          <w:tcPr>
            <w:tcW w:w="1951" w:type="dxa"/>
          </w:tcPr>
          <w:p w14:paraId="38850D29" w14:textId="1215651E" w:rsidR="00103F79" w:rsidRPr="00DE329E" w:rsidRDefault="00103F79" w:rsidP="00103F79">
            <w:pPr>
              <w:pStyle w:val="naisf"/>
              <w:spacing w:before="0" w:beforeAutospacing="0" w:after="0" w:afterAutospacing="0"/>
              <w:rPr>
                <w:i/>
                <w:spacing w:val="-4"/>
              </w:rPr>
            </w:pPr>
            <w:r w:rsidRPr="00DE329E">
              <w:rPr>
                <w:spacing w:val="-4"/>
              </w:rPr>
              <w:t>1. Budžeta ieņēmumi</w:t>
            </w:r>
            <w:r>
              <w:rPr>
                <w:spacing w:val="-4"/>
              </w:rPr>
              <w:t>:</w:t>
            </w:r>
          </w:p>
        </w:tc>
        <w:tc>
          <w:tcPr>
            <w:tcW w:w="1276" w:type="dxa"/>
          </w:tcPr>
          <w:p w14:paraId="38850D2A" w14:textId="6220C84B" w:rsidR="00103F79" w:rsidRPr="00DE329E" w:rsidRDefault="00103F79" w:rsidP="00103F79">
            <w:pPr>
              <w:pStyle w:val="naisf"/>
              <w:spacing w:before="0" w:beforeAutospacing="0" w:after="0" w:afterAutospacing="0"/>
              <w:jc w:val="center"/>
              <w:rPr>
                <w:spacing w:val="-4"/>
              </w:rPr>
            </w:pPr>
            <w:r w:rsidRPr="00DE329E">
              <w:rPr>
                <w:spacing w:val="-4"/>
              </w:rPr>
              <w:t>1 274 852</w:t>
            </w:r>
          </w:p>
        </w:tc>
        <w:tc>
          <w:tcPr>
            <w:tcW w:w="1417" w:type="dxa"/>
          </w:tcPr>
          <w:p w14:paraId="38850D2B" w14:textId="046DA064" w:rsidR="00103F79" w:rsidRPr="00103F79" w:rsidRDefault="00103F79" w:rsidP="00103F79">
            <w:pPr>
              <w:pStyle w:val="naisf"/>
              <w:spacing w:before="0" w:beforeAutospacing="0" w:after="0" w:afterAutospacing="0"/>
              <w:ind w:right="57"/>
              <w:jc w:val="center"/>
            </w:pPr>
            <w:r w:rsidRPr="00103F79">
              <w:t>0</w:t>
            </w:r>
          </w:p>
        </w:tc>
        <w:tc>
          <w:tcPr>
            <w:tcW w:w="1542" w:type="dxa"/>
          </w:tcPr>
          <w:p w14:paraId="38850D2C" w14:textId="64064850" w:rsidR="00103F79" w:rsidRPr="00DE329E" w:rsidRDefault="00711F5C" w:rsidP="00103F79">
            <w:pPr>
              <w:pStyle w:val="naisf"/>
              <w:spacing w:before="0" w:beforeAutospacing="0" w:after="0" w:afterAutospacing="0"/>
              <w:ind w:right="57"/>
              <w:jc w:val="center"/>
              <w:rPr>
                <w:spacing w:val="-4"/>
              </w:rPr>
            </w:pPr>
            <w:r>
              <w:t>–</w:t>
            </w:r>
            <w:r w:rsidR="00103F79" w:rsidRPr="00D84A56">
              <w:t>85 000</w:t>
            </w:r>
          </w:p>
        </w:tc>
        <w:tc>
          <w:tcPr>
            <w:tcW w:w="1800" w:type="dxa"/>
          </w:tcPr>
          <w:p w14:paraId="38850D2E" w14:textId="4704ABB2" w:rsidR="00103F79" w:rsidRPr="00DE329E" w:rsidRDefault="00711F5C" w:rsidP="00103F79">
            <w:pPr>
              <w:pStyle w:val="naisf"/>
              <w:spacing w:before="0" w:beforeAutospacing="0" w:after="0" w:afterAutospacing="0"/>
              <w:ind w:right="57"/>
              <w:jc w:val="center"/>
              <w:rPr>
                <w:spacing w:val="-4"/>
              </w:rPr>
            </w:pPr>
            <w:r>
              <w:t>–</w:t>
            </w:r>
            <w:r w:rsidR="00103F79" w:rsidRPr="00D84A56">
              <w:t>170 000</w:t>
            </w:r>
          </w:p>
        </w:tc>
        <w:tc>
          <w:tcPr>
            <w:tcW w:w="1903" w:type="dxa"/>
          </w:tcPr>
          <w:p w14:paraId="38850D2F" w14:textId="230F1798" w:rsidR="00103F79" w:rsidRPr="00DE329E" w:rsidRDefault="00711F5C" w:rsidP="00103F79">
            <w:pPr>
              <w:pStyle w:val="naisf"/>
              <w:spacing w:before="0" w:beforeAutospacing="0" w:after="0" w:afterAutospacing="0"/>
              <w:ind w:right="57"/>
              <w:jc w:val="center"/>
              <w:rPr>
                <w:spacing w:val="-4"/>
              </w:rPr>
            </w:pPr>
            <w:r>
              <w:t>–</w:t>
            </w:r>
            <w:r w:rsidR="00103F79" w:rsidRPr="00D84A56">
              <w:t>85 000</w:t>
            </w:r>
          </w:p>
        </w:tc>
      </w:tr>
      <w:tr w:rsidR="00103F79" w:rsidRPr="00DE329E" w14:paraId="454CA048" w14:textId="77777777" w:rsidTr="00D708EB">
        <w:trPr>
          <w:trHeight w:val="20"/>
        </w:trPr>
        <w:tc>
          <w:tcPr>
            <w:tcW w:w="1951" w:type="dxa"/>
          </w:tcPr>
          <w:p w14:paraId="3EE3B91A" w14:textId="6ECB6F3A" w:rsidR="00103F79" w:rsidRPr="00DE329E" w:rsidRDefault="00103F79" w:rsidP="00103F79">
            <w:pPr>
              <w:pStyle w:val="naisf"/>
              <w:spacing w:before="0" w:beforeAutospacing="0" w:after="0" w:afterAutospacing="0"/>
              <w:rPr>
                <w:spacing w:val="-4"/>
              </w:rPr>
            </w:pPr>
            <w:r w:rsidRPr="00103F79">
              <w:rPr>
                <w:spacing w:val="-4"/>
              </w:rPr>
              <w:t>1.1. valsts pamatbudžets, tai skaitā ieņēmumi no maksas pakalpojumiem un citi pašu ieņēmumi</w:t>
            </w:r>
          </w:p>
        </w:tc>
        <w:tc>
          <w:tcPr>
            <w:tcW w:w="1276" w:type="dxa"/>
          </w:tcPr>
          <w:p w14:paraId="414102E6" w14:textId="1A3B2D31" w:rsidR="00103F79" w:rsidRPr="00DE329E" w:rsidRDefault="00103F79" w:rsidP="00103F79">
            <w:pPr>
              <w:pStyle w:val="naisf"/>
              <w:spacing w:before="0" w:beforeAutospacing="0" w:after="0" w:afterAutospacing="0"/>
              <w:jc w:val="center"/>
              <w:rPr>
                <w:spacing w:val="-4"/>
              </w:rPr>
            </w:pPr>
            <w:r w:rsidRPr="003E1E99">
              <w:t>1 274 852</w:t>
            </w:r>
          </w:p>
        </w:tc>
        <w:tc>
          <w:tcPr>
            <w:tcW w:w="1417" w:type="dxa"/>
          </w:tcPr>
          <w:p w14:paraId="7618FA9B" w14:textId="398410BF" w:rsidR="00103F79" w:rsidRPr="00103F79" w:rsidRDefault="00103F79" w:rsidP="00103F79">
            <w:pPr>
              <w:pStyle w:val="naisf"/>
              <w:spacing w:before="0" w:beforeAutospacing="0" w:after="0" w:afterAutospacing="0"/>
              <w:ind w:right="57"/>
              <w:jc w:val="center"/>
            </w:pPr>
            <w:r w:rsidRPr="00103F79">
              <w:t>0</w:t>
            </w:r>
          </w:p>
        </w:tc>
        <w:tc>
          <w:tcPr>
            <w:tcW w:w="1542" w:type="dxa"/>
          </w:tcPr>
          <w:p w14:paraId="37531055" w14:textId="298767FF" w:rsidR="00103F79" w:rsidRPr="00103F79" w:rsidRDefault="00711F5C" w:rsidP="00103F79">
            <w:pPr>
              <w:pStyle w:val="naisf"/>
              <w:spacing w:before="0" w:beforeAutospacing="0" w:after="0" w:afterAutospacing="0"/>
              <w:ind w:right="57"/>
              <w:jc w:val="center"/>
            </w:pPr>
            <w:r>
              <w:t>–</w:t>
            </w:r>
            <w:r w:rsidR="00103F79" w:rsidRPr="00103F79">
              <w:t>85 000</w:t>
            </w:r>
          </w:p>
        </w:tc>
        <w:tc>
          <w:tcPr>
            <w:tcW w:w="1800" w:type="dxa"/>
          </w:tcPr>
          <w:p w14:paraId="08A668D2" w14:textId="20777753" w:rsidR="00103F79" w:rsidRPr="00103F79" w:rsidRDefault="00711F5C" w:rsidP="00103F79">
            <w:pPr>
              <w:pStyle w:val="naisf"/>
              <w:spacing w:before="0" w:beforeAutospacing="0" w:after="0" w:afterAutospacing="0"/>
              <w:ind w:right="57"/>
              <w:jc w:val="center"/>
            </w:pPr>
            <w:r>
              <w:t>–</w:t>
            </w:r>
            <w:r w:rsidR="00103F79" w:rsidRPr="00103F79">
              <w:t>170 000</w:t>
            </w:r>
          </w:p>
        </w:tc>
        <w:tc>
          <w:tcPr>
            <w:tcW w:w="1903" w:type="dxa"/>
          </w:tcPr>
          <w:p w14:paraId="730FEEE4" w14:textId="1198A135" w:rsidR="00103F79" w:rsidRPr="00103F79" w:rsidRDefault="00711F5C" w:rsidP="00103F79">
            <w:pPr>
              <w:pStyle w:val="naisf"/>
              <w:spacing w:before="0" w:beforeAutospacing="0" w:after="0" w:afterAutospacing="0"/>
              <w:ind w:right="57"/>
              <w:jc w:val="center"/>
            </w:pPr>
            <w:r>
              <w:t>–</w:t>
            </w:r>
            <w:r w:rsidR="00103F79" w:rsidRPr="00103F79">
              <w:t>85 000</w:t>
            </w:r>
          </w:p>
        </w:tc>
      </w:tr>
      <w:tr w:rsidR="005A3AEA" w:rsidRPr="00DE329E" w14:paraId="4F5AADF5" w14:textId="77777777" w:rsidTr="00D708EB">
        <w:trPr>
          <w:trHeight w:val="20"/>
        </w:trPr>
        <w:tc>
          <w:tcPr>
            <w:tcW w:w="1951" w:type="dxa"/>
          </w:tcPr>
          <w:p w14:paraId="64FD8BB3" w14:textId="2CA84E20" w:rsidR="005A3AEA" w:rsidRPr="00DE329E" w:rsidRDefault="005A3AEA" w:rsidP="005A3AEA">
            <w:pPr>
              <w:pStyle w:val="naisf"/>
              <w:spacing w:before="0" w:beforeAutospacing="0" w:after="0" w:afterAutospacing="0"/>
              <w:rPr>
                <w:spacing w:val="-4"/>
              </w:rPr>
            </w:pPr>
            <w:r w:rsidRPr="00103F79">
              <w:rPr>
                <w:spacing w:val="-4"/>
              </w:rPr>
              <w:t>1.2. valsts speciālais budžets</w:t>
            </w:r>
          </w:p>
        </w:tc>
        <w:tc>
          <w:tcPr>
            <w:tcW w:w="1276" w:type="dxa"/>
          </w:tcPr>
          <w:p w14:paraId="6DE53574" w14:textId="5D24D253" w:rsidR="005A3AEA" w:rsidRPr="005A3AEA" w:rsidRDefault="005A3AEA" w:rsidP="005A3AEA">
            <w:pPr>
              <w:pStyle w:val="naisf"/>
              <w:spacing w:before="0" w:beforeAutospacing="0" w:after="0" w:afterAutospacing="0"/>
              <w:ind w:right="57"/>
              <w:jc w:val="center"/>
            </w:pPr>
            <w:r w:rsidRPr="0018467E">
              <w:t>0</w:t>
            </w:r>
          </w:p>
        </w:tc>
        <w:tc>
          <w:tcPr>
            <w:tcW w:w="1417" w:type="dxa"/>
          </w:tcPr>
          <w:p w14:paraId="0D40A4C5" w14:textId="3819302C" w:rsidR="005A3AEA" w:rsidRPr="005A3AEA" w:rsidRDefault="005A3AEA" w:rsidP="005A3AEA">
            <w:pPr>
              <w:pStyle w:val="naisf"/>
              <w:spacing w:before="0" w:beforeAutospacing="0" w:after="0" w:afterAutospacing="0"/>
              <w:ind w:right="57"/>
              <w:jc w:val="center"/>
            </w:pPr>
            <w:r w:rsidRPr="0018467E">
              <w:t>0</w:t>
            </w:r>
          </w:p>
        </w:tc>
        <w:tc>
          <w:tcPr>
            <w:tcW w:w="1542" w:type="dxa"/>
          </w:tcPr>
          <w:p w14:paraId="03FDD656" w14:textId="473F1893" w:rsidR="005A3AEA" w:rsidRPr="005A3AEA" w:rsidRDefault="005A3AEA" w:rsidP="005A3AEA">
            <w:pPr>
              <w:pStyle w:val="naisf"/>
              <w:spacing w:before="0" w:beforeAutospacing="0" w:after="0" w:afterAutospacing="0"/>
              <w:ind w:left="-113" w:right="57"/>
              <w:jc w:val="center"/>
            </w:pPr>
            <w:r w:rsidRPr="0018467E">
              <w:t>0</w:t>
            </w:r>
          </w:p>
        </w:tc>
        <w:tc>
          <w:tcPr>
            <w:tcW w:w="1800" w:type="dxa"/>
          </w:tcPr>
          <w:p w14:paraId="3C1460A2" w14:textId="13553B15" w:rsidR="005A3AEA" w:rsidRPr="005A3AEA" w:rsidRDefault="005A3AEA" w:rsidP="005A3AEA">
            <w:pPr>
              <w:pStyle w:val="naisf"/>
              <w:spacing w:before="0" w:beforeAutospacing="0" w:after="0" w:afterAutospacing="0"/>
              <w:ind w:left="-113" w:right="57"/>
              <w:jc w:val="center"/>
            </w:pPr>
            <w:r w:rsidRPr="0018467E">
              <w:t>0</w:t>
            </w:r>
          </w:p>
        </w:tc>
        <w:tc>
          <w:tcPr>
            <w:tcW w:w="1903" w:type="dxa"/>
          </w:tcPr>
          <w:p w14:paraId="74CBF3F3" w14:textId="6D123C7B" w:rsidR="005A3AEA" w:rsidRPr="005A3AEA" w:rsidRDefault="005A3AEA" w:rsidP="005A3AEA">
            <w:pPr>
              <w:pStyle w:val="naisf"/>
              <w:spacing w:before="0" w:beforeAutospacing="0" w:after="0" w:afterAutospacing="0"/>
              <w:ind w:left="-113" w:right="57"/>
              <w:jc w:val="center"/>
            </w:pPr>
            <w:r w:rsidRPr="0018467E">
              <w:t>0</w:t>
            </w:r>
          </w:p>
        </w:tc>
      </w:tr>
      <w:tr w:rsidR="005A3AEA" w:rsidRPr="00DE329E" w14:paraId="16972C63" w14:textId="77777777" w:rsidTr="00D708EB">
        <w:trPr>
          <w:trHeight w:val="20"/>
        </w:trPr>
        <w:tc>
          <w:tcPr>
            <w:tcW w:w="1951" w:type="dxa"/>
          </w:tcPr>
          <w:p w14:paraId="1D692005" w14:textId="3539FB5A" w:rsidR="005A3AEA" w:rsidRPr="00DE329E" w:rsidRDefault="005A3AEA" w:rsidP="005A3AEA">
            <w:pPr>
              <w:pStyle w:val="naisf"/>
              <w:spacing w:before="0" w:beforeAutospacing="0" w:after="0" w:afterAutospacing="0"/>
              <w:rPr>
                <w:spacing w:val="-4"/>
              </w:rPr>
            </w:pPr>
            <w:r w:rsidRPr="00103F79">
              <w:rPr>
                <w:spacing w:val="-4"/>
              </w:rPr>
              <w:t>1.3. pašvaldību budžets</w:t>
            </w:r>
          </w:p>
        </w:tc>
        <w:tc>
          <w:tcPr>
            <w:tcW w:w="1276" w:type="dxa"/>
          </w:tcPr>
          <w:p w14:paraId="64FE105E" w14:textId="68A5B4E2" w:rsidR="005A3AEA" w:rsidRPr="005A3AEA" w:rsidRDefault="005A3AEA" w:rsidP="005A3AEA">
            <w:pPr>
              <w:pStyle w:val="naisf"/>
              <w:spacing w:before="0" w:beforeAutospacing="0" w:after="0" w:afterAutospacing="0"/>
              <w:ind w:right="57"/>
              <w:jc w:val="center"/>
            </w:pPr>
            <w:r w:rsidRPr="0018467E">
              <w:t>0</w:t>
            </w:r>
          </w:p>
        </w:tc>
        <w:tc>
          <w:tcPr>
            <w:tcW w:w="1417" w:type="dxa"/>
          </w:tcPr>
          <w:p w14:paraId="01C6DAF7" w14:textId="3959DB4E" w:rsidR="005A3AEA" w:rsidRPr="005A3AEA" w:rsidRDefault="005A3AEA" w:rsidP="005A3AEA">
            <w:pPr>
              <w:pStyle w:val="naisf"/>
              <w:spacing w:before="0" w:beforeAutospacing="0" w:after="0" w:afterAutospacing="0"/>
              <w:ind w:right="57"/>
              <w:jc w:val="center"/>
            </w:pPr>
            <w:r w:rsidRPr="0018467E">
              <w:t>0</w:t>
            </w:r>
          </w:p>
        </w:tc>
        <w:tc>
          <w:tcPr>
            <w:tcW w:w="1542" w:type="dxa"/>
          </w:tcPr>
          <w:p w14:paraId="44CAF006" w14:textId="5A9EA60E" w:rsidR="005A3AEA" w:rsidRPr="005A3AEA" w:rsidRDefault="005A3AEA" w:rsidP="005A3AEA">
            <w:pPr>
              <w:pStyle w:val="naisf"/>
              <w:spacing w:before="0" w:beforeAutospacing="0" w:after="0" w:afterAutospacing="0"/>
              <w:ind w:left="-113" w:right="57"/>
              <w:jc w:val="center"/>
            </w:pPr>
            <w:r w:rsidRPr="0018467E">
              <w:t>0</w:t>
            </w:r>
          </w:p>
        </w:tc>
        <w:tc>
          <w:tcPr>
            <w:tcW w:w="1800" w:type="dxa"/>
          </w:tcPr>
          <w:p w14:paraId="3866FC29" w14:textId="47C85FDB" w:rsidR="005A3AEA" w:rsidRPr="005A3AEA" w:rsidRDefault="005A3AEA" w:rsidP="005A3AEA">
            <w:pPr>
              <w:pStyle w:val="naisf"/>
              <w:spacing w:before="0" w:beforeAutospacing="0" w:after="0" w:afterAutospacing="0"/>
              <w:ind w:left="-113" w:right="57"/>
              <w:jc w:val="center"/>
            </w:pPr>
            <w:r w:rsidRPr="0018467E">
              <w:t>0</w:t>
            </w:r>
          </w:p>
        </w:tc>
        <w:tc>
          <w:tcPr>
            <w:tcW w:w="1903" w:type="dxa"/>
          </w:tcPr>
          <w:p w14:paraId="61E4838A" w14:textId="6FA73869" w:rsidR="005A3AEA" w:rsidRPr="005A3AEA" w:rsidRDefault="005A3AEA" w:rsidP="005A3AEA">
            <w:pPr>
              <w:pStyle w:val="naisf"/>
              <w:spacing w:before="0" w:beforeAutospacing="0" w:after="0" w:afterAutospacing="0"/>
              <w:ind w:left="-113" w:right="57"/>
              <w:jc w:val="center"/>
            </w:pPr>
            <w:r w:rsidRPr="0018467E">
              <w:t>0</w:t>
            </w:r>
          </w:p>
        </w:tc>
      </w:tr>
      <w:tr w:rsidR="00DE329E" w:rsidRPr="00DE329E" w14:paraId="38850D37" w14:textId="77777777" w:rsidTr="00D708EB">
        <w:trPr>
          <w:trHeight w:val="20"/>
        </w:trPr>
        <w:tc>
          <w:tcPr>
            <w:tcW w:w="1951" w:type="dxa"/>
          </w:tcPr>
          <w:p w14:paraId="38850D31" w14:textId="3F22492E" w:rsidR="007F2E94" w:rsidRPr="00DE329E" w:rsidRDefault="007F2E94" w:rsidP="007F2E94">
            <w:pPr>
              <w:rPr>
                <w:spacing w:val="-4"/>
                <w:sz w:val="24"/>
                <w:szCs w:val="24"/>
              </w:rPr>
            </w:pPr>
            <w:r w:rsidRPr="00DE329E">
              <w:rPr>
                <w:spacing w:val="-4"/>
                <w:sz w:val="24"/>
                <w:szCs w:val="24"/>
              </w:rPr>
              <w:t xml:space="preserve">2. Budžeta </w:t>
            </w:r>
            <w:r w:rsidRPr="00DE329E">
              <w:rPr>
                <w:spacing w:val="-4"/>
                <w:sz w:val="24"/>
                <w:szCs w:val="24"/>
              </w:rPr>
              <w:lastRenderedPageBreak/>
              <w:t>izdevumi</w:t>
            </w:r>
            <w:r w:rsidR="00103F79">
              <w:rPr>
                <w:spacing w:val="-4"/>
                <w:sz w:val="24"/>
                <w:szCs w:val="24"/>
              </w:rPr>
              <w:t>:</w:t>
            </w:r>
          </w:p>
        </w:tc>
        <w:tc>
          <w:tcPr>
            <w:tcW w:w="1276" w:type="dxa"/>
          </w:tcPr>
          <w:p w14:paraId="38850D32" w14:textId="1EB0D365" w:rsidR="007F2E94" w:rsidRPr="00DE329E" w:rsidRDefault="00686055" w:rsidP="007F2E94">
            <w:pPr>
              <w:pStyle w:val="naisf"/>
              <w:spacing w:before="0" w:beforeAutospacing="0" w:after="0" w:afterAutospacing="0"/>
              <w:jc w:val="center"/>
              <w:rPr>
                <w:spacing w:val="-4"/>
              </w:rPr>
            </w:pPr>
            <w:r w:rsidRPr="00DE329E">
              <w:rPr>
                <w:spacing w:val="-4"/>
              </w:rPr>
              <w:lastRenderedPageBreak/>
              <w:t>1 499 826</w:t>
            </w:r>
          </w:p>
        </w:tc>
        <w:tc>
          <w:tcPr>
            <w:tcW w:w="1417" w:type="dxa"/>
          </w:tcPr>
          <w:p w14:paraId="38850D33" w14:textId="09D50DFC" w:rsidR="007F2E94" w:rsidRPr="00D708EB" w:rsidRDefault="00686055" w:rsidP="00D708EB">
            <w:pPr>
              <w:pStyle w:val="naisf"/>
              <w:spacing w:before="0" w:beforeAutospacing="0" w:after="0" w:afterAutospacing="0"/>
              <w:ind w:right="57"/>
              <w:jc w:val="center"/>
            </w:pPr>
            <w:r w:rsidRPr="00D708EB">
              <w:t>0</w:t>
            </w:r>
          </w:p>
        </w:tc>
        <w:tc>
          <w:tcPr>
            <w:tcW w:w="1542" w:type="dxa"/>
          </w:tcPr>
          <w:p w14:paraId="38850D34" w14:textId="79E00616" w:rsidR="006C6336" w:rsidRPr="00DE329E" w:rsidRDefault="00711F5C" w:rsidP="007F2E94">
            <w:pPr>
              <w:pStyle w:val="naisf"/>
              <w:spacing w:before="0" w:beforeAutospacing="0" w:after="0" w:afterAutospacing="0"/>
              <w:ind w:left="-113" w:right="57"/>
              <w:jc w:val="center"/>
              <w:rPr>
                <w:spacing w:val="-4"/>
              </w:rPr>
            </w:pPr>
            <w:r>
              <w:t>–</w:t>
            </w:r>
            <w:r w:rsidR="00103F79">
              <w:rPr>
                <w:spacing w:val="-4"/>
              </w:rPr>
              <w:t>100 000</w:t>
            </w:r>
          </w:p>
        </w:tc>
        <w:tc>
          <w:tcPr>
            <w:tcW w:w="1800" w:type="dxa"/>
          </w:tcPr>
          <w:p w14:paraId="38850D35" w14:textId="6B83775C" w:rsidR="007662CD" w:rsidRPr="00DE329E" w:rsidRDefault="00711F5C" w:rsidP="007F2E94">
            <w:pPr>
              <w:pStyle w:val="naisf"/>
              <w:spacing w:before="0" w:beforeAutospacing="0" w:after="0" w:afterAutospacing="0"/>
              <w:ind w:left="-113" w:right="57"/>
              <w:jc w:val="center"/>
              <w:rPr>
                <w:spacing w:val="-4"/>
              </w:rPr>
            </w:pPr>
            <w:r>
              <w:t>–</w:t>
            </w:r>
            <w:r w:rsidR="00103F79">
              <w:rPr>
                <w:spacing w:val="-4"/>
              </w:rPr>
              <w:t>200 000</w:t>
            </w:r>
          </w:p>
        </w:tc>
        <w:tc>
          <w:tcPr>
            <w:tcW w:w="1903" w:type="dxa"/>
          </w:tcPr>
          <w:p w14:paraId="38850D36" w14:textId="2BB00F01" w:rsidR="007662CD" w:rsidRPr="00DE329E" w:rsidRDefault="00711F5C" w:rsidP="00C46E29">
            <w:pPr>
              <w:pStyle w:val="naisf"/>
              <w:spacing w:before="0" w:beforeAutospacing="0" w:after="0" w:afterAutospacing="0"/>
              <w:ind w:right="57"/>
              <w:jc w:val="center"/>
              <w:rPr>
                <w:spacing w:val="-4"/>
              </w:rPr>
            </w:pPr>
            <w:r>
              <w:t>–</w:t>
            </w:r>
            <w:r w:rsidR="00103F79">
              <w:rPr>
                <w:spacing w:val="-4"/>
              </w:rPr>
              <w:t>100 000</w:t>
            </w:r>
          </w:p>
        </w:tc>
      </w:tr>
      <w:tr w:rsidR="00103F79" w:rsidRPr="00DE329E" w14:paraId="2BA91F0B" w14:textId="77777777" w:rsidTr="00D708EB">
        <w:trPr>
          <w:trHeight w:val="20"/>
        </w:trPr>
        <w:tc>
          <w:tcPr>
            <w:tcW w:w="1951" w:type="dxa"/>
          </w:tcPr>
          <w:p w14:paraId="38B7DF8F" w14:textId="0182115E" w:rsidR="00103F79" w:rsidRPr="00DE329E" w:rsidRDefault="00103F79" w:rsidP="00103F79">
            <w:pPr>
              <w:rPr>
                <w:spacing w:val="-4"/>
                <w:sz w:val="24"/>
                <w:szCs w:val="24"/>
              </w:rPr>
            </w:pPr>
            <w:r w:rsidRPr="00103F79">
              <w:rPr>
                <w:spacing w:val="-4"/>
                <w:sz w:val="24"/>
                <w:szCs w:val="24"/>
              </w:rPr>
              <w:lastRenderedPageBreak/>
              <w:t>2.1. valsts pamatbudžets</w:t>
            </w:r>
          </w:p>
        </w:tc>
        <w:tc>
          <w:tcPr>
            <w:tcW w:w="1276" w:type="dxa"/>
          </w:tcPr>
          <w:p w14:paraId="01083091" w14:textId="5CA02322" w:rsidR="00103F79" w:rsidRPr="00DE329E" w:rsidRDefault="00103F79" w:rsidP="00103F79">
            <w:pPr>
              <w:pStyle w:val="naisf"/>
              <w:spacing w:before="0" w:beforeAutospacing="0" w:after="0" w:afterAutospacing="0"/>
              <w:jc w:val="center"/>
              <w:rPr>
                <w:spacing w:val="-4"/>
              </w:rPr>
            </w:pPr>
            <w:r w:rsidRPr="003D105B">
              <w:t>1 499 826</w:t>
            </w:r>
          </w:p>
        </w:tc>
        <w:tc>
          <w:tcPr>
            <w:tcW w:w="1417" w:type="dxa"/>
          </w:tcPr>
          <w:p w14:paraId="323BE652" w14:textId="0670A719" w:rsidR="00103F79" w:rsidRPr="00103F79" w:rsidRDefault="00103F79" w:rsidP="00D708EB">
            <w:pPr>
              <w:pStyle w:val="naisf"/>
              <w:spacing w:before="0" w:beforeAutospacing="0" w:after="0" w:afterAutospacing="0"/>
              <w:ind w:right="57"/>
              <w:jc w:val="center"/>
            </w:pPr>
            <w:r w:rsidRPr="003D105B">
              <w:t>0</w:t>
            </w:r>
          </w:p>
        </w:tc>
        <w:tc>
          <w:tcPr>
            <w:tcW w:w="1542" w:type="dxa"/>
          </w:tcPr>
          <w:p w14:paraId="3EFFA1BF" w14:textId="517EF8B7" w:rsidR="00103F79" w:rsidRPr="00DE329E" w:rsidRDefault="00711F5C" w:rsidP="00103F79">
            <w:pPr>
              <w:pStyle w:val="naisf"/>
              <w:spacing w:before="0" w:beforeAutospacing="0" w:after="0" w:afterAutospacing="0"/>
              <w:ind w:left="-113" w:right="57"/>
              <w:jc w:val="center"/>
              <w:rPr>
                <w:spacing w:val="-4"/>
              </w:rPr>
            </w:pPr>
            <w:r>
              <w:t>–</w:t>
            </w:r>
            <w:r w:rsidR="00103F79" w:rsidRPr="003D105B">
              <w:t>100 000</w:t>
            </w:r>
          </w:p>
        </w:tc>
        <w:tc>
          <w:tcPr>
            <w:tcW w:w="1800" w:type="dxa"/>
          </w:tcPr>
          <w:p w14:paraId="6FECE613" w14:textId="35B35848" w:rsidR="00103F79" w:rsidRPr="00DE329E" w:rsidRDefault="00711F5C" w:rsidP="00103F79">
            <w:pPr>
              <w:pStyle w:val="naisf"/>
              <w:spacing w:before="0" w:beforeAutospacing="0" w:after="0" w:afterAutospacing="0"/>
              <w:ind w:left="-113" w:right="57"/>
              <w:jc w:val="center"/>
              <w:rPr>
                <w:spacing w:val="-4"/>
              </w:rPr>
            </w:pPr>
            <w:r>
              <w:t>–</w:t>
            </w:r>
            <w:r w:rsidR="00103F79" w:rsidRPr="003D105B">
              <w:t>200 000</w:t>
            </w:r>
          </w:p>
        </w:tc>
        <w:tc>
          <w:tcPr>
            <w:tcW w:w="1903" w:type="dxa"/>
          </w:tcPr>
          <w:p w14:paraId="6E436C92" w14:textId="2B17619A" w:rsidR="00103F79" w:rsidRPr="00DE329E" w:rsidRDefault="00711F5C" w:rsidP="00103F79">
            <w:pPr>
              <w:pStyle w:val="naisf"/>
              <w:spacing w:before="0" w:beforeAutospacing="0" w:after="0" w:afterAutospacing="0"/>
              <w:ind w:right="57"/>
              <w:jc w:val="center"/>
              <w:rPr>
                <w:spacing w:val="-4"/>
              </w:rPr>
            </w:pPr>
            <w:r>
              <w:t>–</w:t>
            </w:r>
            <w:r w:rsidR="00103F79" w:rsidRPr="003D105B">
              <w:t>100 000</w:t>
            </w:r>
          </w:p>
        </w:tc>
      </w:tr>
      <w:tr w:rsidR="005A3AEA" w:rsidRPr="00DE329E" w14:paraId="2FFC665B" w14:textId="77777777" w:rsidTr="00D708EB">
        <w:trPr>
          <w:trHeight w:val="20"/>
        </w:trPr>
        <w:tc>
          <w:tcPr>
            <w:tcW w:w="1951" w:type="dxa"/>
          </w:tcPr>
          <w:p w14:paraId="77662FAB" w14:textId="4BEAA7C9" w:rsidR="005A3AEA" w:rsidRPr="00DE329E" w:rsidRDefault="005A3AEA" w:rsidP="005A3AEA">
            <w:pPr>
              <w:rPr>
                <w:spacing w:val="-4"/>
                <w:sz w:val="24"/>
                <w:szCs w:val="24"/>
              </w:rPr>
            </w:pPr>
            <w:r w:rsidRPr="00103F79">
              <w:rPr>
                <w:spacing w:val="-4"/>
                <w:sz w:val="24"/>
                <w:szCs w:val="24"/>
              </w:rPr>
              <w:t>2.2. valsts speciālais budžets</w:t>
            </w:r>
          </w:p>
        </w:tc>
        <w:tc>
          <w:tcPr>
            <w:tcW w:w="1276" w:type="dxa"/>
          </w:tcPr>
          <w:p w14:paraId="263FBB58" w14:textId="7F81A3B2" w:rsidR="005A3AEA" w:rsidRPr="00DE329E" w:rsidRDefault="005A3AEA" w:rsidP="005A3AEA">
            <w:pPr>
              <w:pStyle w:val="naisf"/>
              <w:spacing w:before="0" w:beforeAutospacing="0" w:after="0" w:afterAutospacing="0"/>
              <w:jc w:val="center"/>
              <w:rPr>
                <w:spacing w:val="-4"/>
              </w:rPr>
            </w:pPr>
            <w:r w:rsidRPr="00667D08">
              <w:t>0</w:t>
            </w:r>
          </w:p>
        </w:tc>
        <w:tc>
          <w:tcPr>
            <w:tcW w:w="1417" w:type="dxa"/>
          </w:tcPr>
          <w:p w14:paraId="7602DB22" w14:textId="47FDF2E6" w:rsidR="005A3AEA" w:rsidRPr="00103F79" w:rsidRDefault="005A3AEA" w:rsidP="00D708EB">
            <w:pPr>
              <w:pStyle w:val="naisf"/>
              <w:spacing w:before="0" w:beforeAutospacing="0" w:after="0" w:afterAutospacing="0"/>
              <w:ind w:right="57"/>
              <w:jc w:val="center"/>
            </w:pPr>
            <w:r w:rsidRPr="00667D08">
              <w:t>0</w:t>
            </w:r>
          </w:p>
        </w:tc>
        <w:tc>
          <w:tcPr>
            <w:tcW w:w="1542" w:type="dxa"/>
          </w:tcPr>
          <w:p w14:paraId="669DA215" w14:textId="1339AE07" w:rsidR="005A3AEA" w:rsidRPr="00DE329E" w:rsidRDefault="005A3AEA" w:rsidP="005A3AEA">
            <w:pPr>
              <w:pStyle w:val="naisf"/>
              <w:spacing w:before="0" w:beforeAutospacing="0" w:after="0" w:afterAutospacing="0"/>
              <w:ind w:left="-113" w:right="57"/>
              <w:jc w:val="center"/>
              <w:rPr>
                <w:spacing w:val="-4"/>
              </w:rPr>
            </w:pPr>
            <w:r w:rsidRPr="00667D08">
              <w:t>0</w:t>
            </w:r>
          </w:p>
        </w:tc>
        <w:tc>
          <w:tcPr>
            <w:tcW w:w="1800" w:type="dxa"/>
          </w:tcPr>
          <w:p w14:paraId="485FEDD9" w14:textId="7AD2DDE6" w:rsidR="005A3AEA" w:rsidRPr="00DE329E" w:rsidRDefault="005A3AEA" w:rsidP="005A3AEA">
            <w:pPr>
              <w:pStyle w:val="naisf"/>
              <w:spacing w:before="0" w:beforeAutospacing="0" w:after="0" w:afterAutospacing="0"/>
              <w:ind w:left="-113" w:right="57"/>
              <w:jc w:val="center"/>
              <w:rPr>
                <w:spacing w:val="-4"/>
              </w:rPr>
            </w:pPr>
            <w:r w:rsidRPr="00667D08">
              <w:t>0</w:t>
            </w:r>
          </w:p>
        </w:tc>
        <w:tc>
          <w:tcPr>
            <w:tcW w:w="1903" w:type="dxa"/>
          </w:tcPr>
          <w:p w14:paraId="23347F17" w14:textId="03388D5A" w:rsidR="005A3AEA" w:rsidRPr="00DE329E" w:rsidRDefault="005A3AEA" w:rsidP="005A3AEA">
            <w:pPr>
              <w:pStyle w:val="naisf"/>
              <w:spacing w:before="0" w:beforeAutospacing="0" w:after="0" w:afterAutospacing="0"/>
              <w:ind w:right="57"/>
              <w:jc w:val="center"/>
              <w:rPr>
                <w:spacing w:val="-4"/>
              </w:rPr>
            </w:pPr>
            <w:r w:rsidRPr="00667D08">
              <w:t>0</w:t>
            </w:r>
          </w:p>
        </w:tc>
      </w:tr>
      <w:tr w:rsidR="005A3AEA" w:rsidRPr="00DE329E" w14:paraId="341CE50E" w14:textId="77777777" w:rsidTr="00D708EB">
        <w:trPr>
          <w:trHeight w:val="20"/>
        </w:trPr>
        <w:tc>
          <w:tcPr>
            <w:tcW w:w="1951" w:type="dxa"/>
          </w:tcPr>
          <w:p w14:paraId="1655D115" w14:textId="3B95EC44" w:rsidR="005A3AEA" w:rsidRPr="00DE329E" w:rsidRDefault="005A3AEA" w:rsidP="005A3AEA">
            <w:pPr>
              <w:rPr>
                <w:spacing w:val="-4"/>
                <w:sz w:val="24"/>
                <w:szCs w:val="24"/>
              </w:rPr>
            </w:pPr>
            <w:r w:rsidRPr="00103F79">
              <w:rPr>
                <w:spacing w:val="-4"/>
                <w:sz w:val="24"/>
                <w:szCs w:val="24"/>
              </w:rPr>
              <w:t>2.3. pašvaldību budžets</w:t>
            </w:r>
          </w:p>
        </w:tc>
        <w:tc>
          <w:tcPr>
            <w:tcW w:w="1276" w:type="dxa"/>
          </w:tcPr>
          <w:p w14:paraId="7542E173" w14:textId="2B71CE24" w:rsidR="005A3AEA" w:rsidRPr="00DE329E" w:rsidRDefault="005A3AEA" w:rsidP="005A3AEA">
            <w:pPr>
              <w:pStyle w:val="naisf"/>
              <w:spacing w:before="0" w:beforeAutospacing="0" w:after="0" w:afterAutospacing="0"/>
              <w:jc w:val="center"/>
              <w:rPr>
                <w:spacing w:val="-4"/>
              </w:rPr>
            </w:pPr>
            <w:r w:rsidRPr="00667D08">
              <w:t>0</w:t>
            </w:r>
          </w:p>
        </w:tc>
        <w:tc>
          <w:tcPr>
            <w:tcW w:w="1417" w:type="dxa"/>
          </w:tcPr>
          <w:p w14:paraId="21CFFC47" w14:textId="745C47C1" w:rsidR="005A3AEA" w:rsidRPr="00103F79" w:rsidRDefault="005A3AEA" w:rsidP="00D708EB">
            <w:pPr>
              <w:pStyle w:val="naisf"/>
              <w:spacing w:before="0" w:beforeAutospacing="0" w:after="0" w:afterAutospacing="0"/>
              <w:ind w:right="57"/>
              <w:jc w:val="center"/>
            </w:pPr>
            <w:r w:rsidRPr="00667D08">
              <w:t>0</w:t>
            </w:r>
          </w:p>
        </w:tc>
        <w:tc>
          <w:tcPr>
            <w:tcW w:w="1542" w:type="dxa"/>
          </w:tcPr>
          <w:p w14:paraId="430E013D" w14:textId="26D60036" w:rsidR="005A3AEA" w:rsidRPr="00DE329E" w:rsidRDefault="005A3AEA" w:rsidP="005A3AEA">
            <w:pPr>
              <w:pStyle w:val="naisf"/>
              <w:spacing w:before="0" w:beforeAutospacing="0" w:after="0" w:afterAutospacing="0"/>
              <w:ind w:left="-113" w:right="57"/>
              <w:jc w:val="center"/>
              <w:rPr>
                <w:spacing w:val="-4"/>
              </w:rPr>
            </w:pPr>
            <w:r w:rsidRPr="00667D08">
              <w:t>0</w:t>
            </w:r>
          </w:p>
        </w:tc>
        <w:tc>
          <w:tcPr>
            <w:tcW w:w="1800" w:type="dxa"/>
          </w:tcPr>
          <w:p w14:paraId="0B526C03" w14:textId="0697A8EF" w:rsidR="005A3AEA" w:rsidRPr="00DE329E" w:rsidRDefault="005A3AEA" w:rsidP="005A3AEA">
            <w:pPr>
              <w:pStyle w:val="naisf"/>
              <w:spacing w:before="0" w:beforeAutospacing="0" w:after="0" w:afterAutospacing="0"/>
              <w:ind w:left="-113" w:right="57"/>
              <w:jc w:val="center"/>
              <w:rPr>
                <w:spacing w:val="-4"/>
              </w:rPr>
            </w:pPr>
            <w:r w:rsidRPr="00667D08">
              <w:t>0</w:t>
            </w:r>
          </w:p>
        </w:tc>
        <w:tc>
          <w:tcPr>
            <w:tcW w:w="1903" w:type="dxa"/>
          </w:tcPr>
          <w:p w14:paraId="74066350" w14:textId="2B9375D6" w:rsidR="005A3AEA" w:rsidRPr="00DE329E" w:rsidRDefault="005A3AEA" w:rsidP="005A3AEA">
            <w:pPr>
              <w:pStyle w:val="naisf"/>
              <w:spacing w:before="0" w:beforeAutospacing="0" w:after="0" w:afterAutospacing="0"/>
              <w:ind w:right="57"/>
              <w:jc w:val="center"/>
              <w:rPr>
                <w:spacing w:val="-4"/>
              </w:rPr>
            </w:pPr>
            <w:r w:rsidRPr="00667D08">
              <w:t>0</w:t>
            </w:r>
          </w:p>
        </w:tc>
      </w:tr>
      <w:tr w:rsidR="00DE329E" w:rsidRPr="00DE329E" w14:paraId="38850D3E" w14:textId="77777777" w:rsidTr="00D708EB">
        <w:trPr>
          <w:trHeight w:val="20"/>
        </w:trPr>
        <w:tc>
          <w:tcPr>
            <w:tcW w:w="1951" w:type="dxa"/>
          </w:tcPr>
          <w:p w14:paraId="38850D38" w14:textId="2534658B" w:rsidR="007F2E94" w:rsidRPr="00DE329E" w:rsidRDefault="007F2E94" w:rsidP="007F2E94">
            <w:pPr>
              <w:rPr>
                <w:spacing w:val="-4"/>
                <w:sz w:val="24"/>
                <w:szCs w:val="24"/>
              </w:rPr>
            </w:pPr>
            <w:r w:rsidRPr="00DE329E">
              <w:rPr>
                <w:spacing w:val="-4"/>
                <w:sz w:val="24"/>
                <w:szCs w:val="24"/>
              </w:rPr>
              <w:t>3. Finansiālā ietekme</w:t>
            </w:r>
            <w:r w:rsidR="00103F79">
              <w:rPr>
                <w:spacing w:val="-4"/>
                <w:sz w:val="24"/>
                <w:szCs w:val="24"/>
              </w:rPr>
              <w:t>:</w:t>
            </w:r>
          </w:p>
        </w:tc>
        <w:tc>
          <w:tcPr>
            <w:tcW w:w="1276" w:type="dxa"/>
            <w:shd w:val="clear" w:color="auto" w:fill="auto"/>
          </w:tcPr>
          <w:p w14:paraId="38850D39" w14:textId="3E480D47" w:rsidR="007F2E94" w:rsidRPr="00DE329E" w:rsidRDefault="00711F5C" w:rsidP="00686055">
            <w:pPr>
              <w:pStyle w:val="naisf"/>
              <w:spacing w:before="0" w:beforeAutospacing="0" w:after="0" w:afterAutospacing="0"/>
              <w:jc w:val="center"/>
              <w:rPr>
                <w:spacing w:val="-4"/>
              </w:rPr>
            </w:pPr>
            <w:r>
              <w:t>–</w:t>
            </w:r>
            <w:r w:rsidR="00686055" w:rsidRPr="00DE329E">
              <w:rPr>
                <w:spacing w:val="-4"/>
              </w:rPr>
              <w:t xml:space="preserve">224 974 </w:t>
            </w:r>
          </w:p>
        </w:tc>
        <w:tc>
          <w:tcPr>
            <w:tcW w:w="1417" w:type="dxa"/>
            <w:shd w:val="clear" w:color="auto" w:fill="auto"/>
          </w:tcPr>
          <w:p w14:paraId="38850D3A" w14:textId="6D979DC5" w:rsidR="007F2E94" w:rsidRPr="00103F79" w:rsidRDefault="00F332FE" w:rsidP="00103F79">
            <w:pPr>
              <w:pStyle w:val="naisf"/>
              <w:spacing w:before="0" w:beforeAutospacing="0" w:after="0" w:afterAutospacing="0"/>
              <w:ind w:right="57"/>
              <w:jc w:val="center"/>
            </w:pPr>
            <w:r w:rsidRPr="00103F79">
              <w:t>0</w:t>
            </w:r>
          </w:p>
        </w:tc>
        <w:tc>
          <w:tcPr>
            <w:tcW w:w="1542" w:type="dxa"/>
          </w:tcPr>
          <w:p w14:paraId="38850D3B" w14:textId="5302FA56" w:rsidR="006C6336" w:rsidRPr="0033713C" w:rsidRDefault="00103F79" w:rsidP="00103F79">
            <w:pPr>
              <w:pStyle w:val="naisf"/>
              <w:spacing w:before="0" w:beforeAutospacing="0" w:after="0" w:afterAutospacing="0"/>
              <w:ind w:right="57"/>
              <w:jc w:val="center"/>
            </w:pPr>
            <w:r w:rsidRPr="00103F79">
              <w:t>15 000</w:t>
            </w:r>
          </w:p>
        </w:tc>
        <w:tc>
          <w:tcPr>
            <w:tcW w:w="1800" w:type="dxa"/>
          </w:tcPr>
          <w:p w14:paraId="38850D3C" w14:textId="2AD32311" w:rsidR="007662CD" w:rsidRPr="0033713C" w:rsidRDefault="00103F79" w:rsidP="00103F79">
            <w:pPr>
              <w:pStyle w:val="naisf"/>
              <w:spacing w:before="0" w:beforeAutospacing="0" w:after="0" w:afterAutospacing="0"/>
              <w:ind w:right="57"/>
              <w:jc w:val="center"/>
            </w:pPr>
            <w:r w:rsidRPr="0033713C">
              <w:t>30 000</w:t>
            </w:r>
          </w:p>
        </w:tc>
        <w:tc>
          <w:tcPr>
            <w:tcW w:w="1903" w:type="dxa"/>
          </w:tcPr>
          <w:p w14:paraId="38850D3D" w14:textId="4227AA26" w:rsidR="007662CD" w:rsidRPr="0033713C" w:rsidRDefault="00103F79" w:rsidP="00103F79">
            <w:pPr>
              <w:pStyle w:val="naisf"/>
              <w:spacing w:before="0" w:beforeAutospacing="0" w:after="0" w:afterAutospacing="0"/>
              <w:ind w:right="57"/>
              <w:jc w:val="center"/>
            </w:pPr>
            <w:r w:rsidRPr="0033713C">
              <w:t>15 000</w:t>
            </w:r>
          </w:p>
        </w:tc>
      </w:tr>
      <w:tr w:rsidR="00103F79" w:rsidRPr="00DE329E" w14:paraId="4C2F9C73" w14:textId="77777777" w:rsidTr="00D708EB">
        <w:trPr>
          <w:trHeight w:val="20"/>
        </w:trPr>
        <w:tc>
          <w:tcPr>
            <w:tcW w:w="1951" w:type="dxa"/>
          </w:tcPr>
          <w:p w14:paraId="0786E190" w14:textId="54C5EA29" w:rsidR="00103F79" w:rsidRPr="00DE329E" w:rsidRDefault="00103F79" w:rsidP="00103F79">
            <w:pPr>
              <w:rPr>
                <w:spacing w:val="-4"/>
                <w:sz w:val="24"/>
                <w:szCs w:val="24"/>
              </w:rPr>
            </w:pPr>
            <w:r w:rsidRPr="00103F79">
              <w:rPr>
                <w:spacing w:val="-4"/>
                <w:sz w:val="24"/>
                <w:szCs w:val="24"/>
              </w:rPr>
              <w:t>3.1. valsts pamatbudžets</w:t>
            </w:r>
          </w:p>
        </w:tc>
        <w:tc>
          <w:tcPr>
            <w:tcW w:w="1276" w:type="dxa"/>
            <w:shd w:val="clear" w:color="auto" w:fill="auto"/>
          </w:tcPr>
          <w:p w14:paraId="5C87F86C" w14:textId="38642DAC" w:rsidR="00103F79" w:rsidRPr="00DE329E" w:rsidRDefault="00711F5C" w:rsidP="00103F79">
            <w:pPr>
              <w:pStyle w:val="naisf"/>
              <w:spacing w:before="0" w:beforeAutospacing="0" w:after="0" w:afterAutospacing="0"/>
              <w:jc w:val="center"/>
              <w:rPr>
                <w:spacing w:val="-4"/>
              </w:rPr>
            </w:pPr>
            <w:r>
              <w:t>–</w:t>
            </w:r>
            <w:r w:rsidR="00103F79" w:rsidRPr="00EB1B0D">
              <w:t xml:space="preserve">224 974 </w:t>
            </w:r>
          </w:p>
        </w:tc>
        <w:tc>
          <w:tcPr>
            <w:tcW w:w="1417" w:type="dxa"/>
            <w:shd w:val="clear" w:color="auto" w:fill="auto"/>
          </w:tcPr>
          <w:p w14:paraId="67524064" w14:textId="01D446A8" w:rsidR="00103F79" w:rsidRPr="00103F79" w:rsidRDefault="00103F79" w:rsidP="00103F79">
            <w:pPr>
              <w:pStyle w:val="naisf"/>
              <w:spacing w:before="0" w:beforeAutospacing="0" w:after="0" w:afterAutospacing="0"/>
              <w:ind w:right="57"/>
              <w:jc w:val="center"/>
            </w:pPr>
            <w:r w:rsidRPr="00EB1B0D">
              <w:t>0</w:t>
            </w:r>
          </w:p>
        </w:tc>
        <w:tc>
          <w:tcPr>
            <w:tcW w:w="1542" w:type="dxa"/>
          </w:tcPr>
          <w:p w14:paraId="597D3184" w14:textId="47A73DB9" w:rsidR="00103F79" w:rsidRPr="00103F79" w:rsidRDefault="00103F79" w:rsidP="00103F79">
            <w:pPr>
              <w:pStyle w:val="naisf"/>
              <w:spacing w:before="0" w:beforeAutospacing="0" w:after="0" w:afterAutospacing="0"/>
              <w:ind w:right="57"/>
              <w:jc w:val="center"/>
            </w:pPr>
            <w:r w:rsidRPr="00EB1B0D">
              <w:t>15 000</w:t>
            </w:r>
          </w:p>
        </w:tc>
        <w:tc>
          <w:tcPr>
            <w:tcW w:w="1800" w:type="dxa"/>
          </w:tcPr>
          <w:p w14:paraId="32E17217" w14:textId="75F7BFDE" w:rsidR="00103F79" w:rsidRPr="00103F79" w:rsidRDefault="00103F79" w:rsidP="00103F79">
            <w:pPr>
              <w:pStyle w:val="naisf"/>
              <w:spacing w:before="0" w:beforeAutospacing="0" w:after="0" w:afterAutospacing="0"/>
              <w:ind w:right="57"/>
              <w:jc w:val="center"/>
            </w:pPr>
            <w:r w:rsidRPr="00EB1B0D">
              <w:t>30 000</w:t>
            </w:r>
          </w:p>
        </w:tc>
        <w:tc>
          <w:tcPr>
            <w:tcW w:w="1903" w:type="dxa"/>
          </w:tcPr>
          <w:p w14:paraId="0DE2ADBB" w14:textId="3C889A70" w:rsidR="00103F79" w:rsidRPr="00103F79" w:rsidRDefault="00103F79" w:rsidP="00103F79">
            <w:pPr>
              <w:pStyle w:val="naisf"/>
              <w:spacing w:before="0" w:beforeAutospacing="0" w:after="0" w:afterAutospacing="0"/>
              <w:ind w:right="57"/>
              <w:jc w:val="center"/>
            </w:pPr>
            <w:r w:rsidRPr="00EB1B0D">
              <w:t>15 000</w:t>
            </w:r>
          </w:p>
        </w:tc>
      </w:tr>
      <w:tr w:rsidR="005A3AEA" w:rsidRPr="00DE329E" w14:paraId="64E56BE6" w14:textId="77777777" w:rsidTr="00D708EB">
        <w:trPr>
          <w:trHeight w:val="20"/>
        </w:trPr>
        <w:tc>
          <w:tcPr>
            <w:tcW w:w="1951" w:type="dxa"/>
          </w:tcPr>
          <w:p w14:paraId="7568A4B1" w14:textId="53635A2B" w:rsidR="005A3AEA" w:rsidRPr="00DE329E" w:rsidRDefault="005A3AEA" w:rsidP="005A3AEA">
            <w:pPr>
              <w:rPr>
                <w:spacing w:val="-4"/>
                <w:sz w:val="24"/>
                <w:szCs w:val="24"/>
              </w:rPr>
            </w:pPr>
            <w:r w:rsidRPr="00103F79">
              <w:rPr>
                <w:spacing w:val="-4"/>
                <w:sz w:val="24"/>
                <w:szCs w:val="24"/>
              </w:rPr>
              <w:t>3.2. speciālais budžets</w:t>
            </w:r>
          </w:p>
        </w:tc>
        <w:tc>
          <w:tcPr>
            <w:tcW w:w="1276" w:type="dxa"/>
            <w:shd w:val="clear" w:color="auto" w:fill="auto"/>
          </w:tcPr>
          <w:p w14:paraId="4A831F86" w14:textId="231A5248" w:rsidR="005A3AEA" w:rsidRPr="00DE329E" w:rsidRDefault="005A3AEA" w:rsidP="005A3AEA">
            <w:pPr>
              <w:pStyle w:val="naisf"/>
              <w:spacing w:before="0" w:beforeAutospacing="0" w:after="0" w:afterAutospacing="0"/>
              <w:jc w:val="center"/>
              <w:rPr>
                <w:spacing w:val="-4"/>
              </w:rPr>
            </w:pPr>
            <w:r w:rsidRPr="006B327C">
              <w:t>0</w:t>
            </w:r>
          </w:p>
        </w:tc>
        <w:tc>
          <w:tcPr>
            <w:tcW w:w="1417" w:type="dxa"/>
            <w:shd w:val="clear" w:color="auto" w:fill="auto"/>
          </w:tcPr>
          <w:p w14:paraId="235D3006" w14:textId="1C6FB804" w:rsidR="005A3AEA" w:rsidRPr="00103F79" w:rsidRDefault="005A3AEA" w:rsidP="005A3AEA">
            <w:pPr>
              <w:pStyle w:val="naisf"/>
              <w:spacing w:before="0" w:beforeAutospacing="0" w:after="0" w:afterAutospacing="0"/>
              <w:ind w:right="57"/>
              <w:jc w:val="center"/>
            </w:pPr>
            <w:r w:rsidRPr="006B327C">
              <w:t>0</w:t>
            </w:r>
          </w:p>
        </w:tc>
        <w:tc>
          <w:tcPr>
            <w:tcW w:w="1542" w:type="dxa"/>
          </w:tcPr>
          <w:p w14:paraId="49080F93" w14:textId="015213D1" w:rsidR="005A3AEA" w:rsidRPr="00103F79" w:rsidRDefault="005A3AEA" w:rsidP="005A3AEA">
            <w:pPr>
              <w:pStyle w:val="naisf"/>
              <w:spacing w:before="0" w:beforeAutospacing="0" w:after="0" w:afterAutospacing="0"/>
              <w:ind w:right="57"/>
              <w:jc w:val="center"/>
            </w:pPr>
            <w:r w:rsidRPr="006B327C">
              <w:t>0</w:t>
            </w:r>
          </w:p>
        </w:tc>
        <w:tc>
          <w:tcPr>
            <w:tcW w:w="1800" w:type="dxa"/>
          </w:tcPr>
          <w:p w14:paraId="554A597C" w14:textId="4E3980A8" w:rsidR="005A3AEA" w:rsidRPr="00103F79" w:rsidRDefault="005A3AEA" w:rsidP="005A3AEA">
            <w:pPr>
              <w:pStyle w:val="naisf"/>
              <w:spacing w:before="0" w:beforeAutospacing="0" w:after="0" w:afterAutospacing="0"/>
              <w:ind w:right="57"/>
              <w:jc w:val="center"/>
            </w:pPr>
            <w:r w:rsidRPr="006B327C">
              <w:t>0</w:t>
            </w:r>
          </w:p>
        </w:tc>
        <w:tc>
          <w:tcPr>
            <w:tcW w:w="1903" w:type="dxa"/>
          </w:tcPr>
          <w:p w14:paraId="2057D725" w14:textId="7A8AF610" w:rsidR="005A3AEA" w:rsidRPr="00103F79" w:rsidRDefault="005A3AEA" w:rsidP="005A3AEA">
            <w:pPr>
              <w:pStyle w:val="naisf"/>
              <w:spacing w:before="0" w:beforeAutospacing="0" w:after="0" w:afterAutospacing="0"/>
              <w:ind w:right="57"/>
              <w:jc w:val="center"/>
            </w:pPr>
            <w:r w:rsidRPr="006B327C">
              <w:t>0</w:t>
            </w:r>
          </w:p>
        </w:tc>
      </w:tr>
      <w:tr w:rsidR="005A3AEA" w:rsidRPr="00DE329E" w14:paraId="3CDB24E6" w14:textId="77777777" w:rsidTr="00D708EB">
        <w:trPr>
          <w:trHeight w:val="20"/>
        </w:trPr>
        <w:tc>
          <w:tcPr>
            <w:tcW w:w="1951" w:type="dxa"/>
          </w:tcPr>
          <w:p w14:paraId="58EE5795" w14:textId="38CB57AD" w:rsidR="005A3AEA" w:rsidRPr="00DE329E" w:rsidRDefault="005A3AEA" w:rsidP="005A3AEA">
            <w:pPr>
              <w:rPr>
                <w:spacing w:val="-4"/>
                <w:sz w:val="24"/>
                <w:szCs w:val="24"/>
              </w:rPr>
            </w:pPr>
            <w:r w:rsidRPr="00103F79">
              <w:rPr>
                <w:spacing w:val="-4"/>
                <w:sz w:val="24"/>
                <w:szCs w:val="24"/>
              </w:rPr>
              <w:t>3.3. pašvaldību budžets</w:t>
            </w:r>
          </w:p>
        </w:tc>
        <w:tc>
          <w:tcPr>
            <w:tcW w:w="1276" w:type="dxa"/>
            <w:shd w:val="clear" w:color="auto" w:fill="auto"/>
          </w:tcPr>
          <w:p w14:paraId="4AA2DE79" w14:textId="43D34E4D" w:rsidR="005A3AEA" w:rsidRPr="00DE329E" w:rsidRDefault="005A3AEA" w:rsidP="005A3AEA">
            <w:pPr>
              <w:pStyle w:val="naisf"/>
              <w:spacing w:before="0" w:beforeAutospacing="0" w:after="0" w:afterAutospacing="0"/>
              <w:jc w:val="center"/>
              <w:rPr>
                <w:spacing w:val="-4"/>
              </w:rPr>
            </w:pPr>
            <w:r w:rsidRPr="006B327C">
              <w:t>0</w:t>
            </w:r>
          </w:p>
        </w:tc>
        <w:tc>
          <w:tcPr>
            <w:tcW w:w="1417" w:type="dxa"/>
            <w:shd w:val="clear" w:color="auto" w:fill="auto"/>
          </w:tcPr>
          <w:p w14:paraId="653D9EA6" w14:textId="04F33558" w:rsidR="005A3AEA" w:rsidRPr="00103F79" w:rsidRDefault="005A3AEA" w:rsidP="005A3AEA">
            <w:pPr>
              <w:pStyle w:val="naisf"/>
              <w:spacing w:before="0" w:beforeAutospacing="0" w:after="0" w:afterAutospacing="0"/>
              <w:ind w:right="57"/>
              <w:jc w:val="center"/>
            </w:pPr>
            <w:r w:rsidRPr="006B327C">
              <w:t>0</w:t>
            </w:r>
          </w:p>
        </w:tc>
        <w:tc>
          <w:tcPr>
            <w:tcW w:w="1542" w:type="dxa"/>
          </w:tcPr>
          <w:p w14:paraId="07FC2637" w14:textId="44CED7CC" w:rsidR="005A3AEA" w:rsidRPr="00103F79" w:rsidRDefault="005A3AEA" w:rsidP="005A3AEA">
            <w:pPr>
              <w:pStyle w:val="naisf"/>
              <w:spacing w:before="0" w:beforeAutospacing="0" w:after="0" w:afterAutospacing="0"/>
              <w:ind w:right="57"/>
              <w:jc w:val="center"/>
            </w:pPr>
            <w:r w:rsidRPr="006B327C">
              <w:t>0</w:t>
            </w:r>
          </w:p>
        </w:tc>
        <w:tc>
          <w:tcPr>
            <w:tcW w:w="1800" w:type="dxa"/>
          </w:tcPr>
          <w:p w14:paraId="6F52D2A3" w14:textId="0F098048" w:rsidR="005A3AEA" w:rsidRPr="00103F79" w:rsidRDefault="005A3AEA" w:rsidP="005A3AEA">
            <w:pPr>
              <w:pStyle w:val="naisf"/>
              <w:spacing w:before="0" w:beforeAutospacing="0" w:after="0" w:afterAutospacing="0"/>
              <w:ind w:right="57"/>
              <w:jc w:val="center"/>
            </w:pPr>
            <w:r w:rsidRPr="006B327C">
              <w:t>0</w:t>
            </w:r>
          </w:p>
        </w:tc>
        <w:tc>
          <w:tcPr>
            <w:tcW w:w="1903" w:type="dxa"/>
          </w:tcPr>
          <w:p w14:paraId="57679C11" w14:textId="400EAE96" w:rsidR="005A3AEA" w:rsidRPr="00103F79" w:rsidRDefault="005A3AEA" w:rsidP="005A3AEA">
            <w:pPr>
              <w:pStyle w:val="naisf"/>
              <w:spacing w:before="0" w:beforeAutospacing="0" w:after="0" w:afterAutospacing="0"/>
              <w:ind w:right="57"/>
              <w:jc w:val="center"/>
            </w:pPr>
            <w:r w:rsidRPr="006B327C">
              <w:t>0</w:t>
            </w:r>
          </w:p>
        </w:tc>
      </w:tr>
      <w:tr w:rsidR="00E22A5E" w:rsidRPr="00DE329E" w14:paraId="1F941E1B" w14:textId="77777777" w:rsidTr="00D708EB">
        <w:trPr>
          <w:trHeight w:val="20"/>
        </w:trPr>
        <w:tc>
          <w:tcPr>
            <w:tcW w:w="1951" w:type="dxa"/>
          </w:tcPr>
          <w:p w14:paraId="3746A5BC" w14:textId="13C75CA7" w:rsidR="00E22A5E" w:rsidRPr="00103F79" w:rsidRDefault="00E22A5E" w:rsidP="00E22A5E">
            <w:pPr>
              <w:rPr>
                <w:spacing w:val="-4"/>
                <w:sz w:val="24"/>
                <w:szCs w:val="24"/>
              </w:rPr>
            </w:pPr>
            <w:r w:rsidRPr="005A3AEA">
              <w:rPr>
                <w:spacing w:val="-4"/>
                <w:sz w:val="24"/>
                <w:szCs w:val="24"/>
              </w:rPr>
              <w:t xml:space="preserve">4. Finanšu līdzekļi papildu izdevumu finansēšanai (kompensējošu izdevumu samazinājumu norāda ar </w:t>
            </w:r>
            <w:r w:rsidR="00711F5C">
              <w:rPr>
                <w:spacing w:val="-4"/>
                <w:sz w:val="24"/>
                <w:szCs w:val="24"/>
              </w:rPr>
              <w:t>"</w:t>
            </w:r>
            <w:r w:rsidRPr="005A3AEA">
              <w:rPr>
                <w:spacing w:val="-4"/>
                <w:sz w:val="24"/>
                <w:szCs w:val="24"/>
              </w:rPr>
              <w:t>+</w:t>
            </w:r>
            <w:r w:rsidR="00711F5C">
              <w:rPr>
                <w:spacing w:val="-4"/>
                <w:sz w:val="24"/>
                <w:szCs w:val="24"/>
              </w:rPr>
              <w:t>"</w:t>
            </w:r>
            <w:r w:rsidRPr="005A3AEA">
              <w:rPr>
                <w:spacing w:val="-4"/>
                <w:sz w:val="24"/>
                <w:szCs w:val="24"/>
              </w:rPr>
              <w:t xml:space="preserve"> zīmi)</w:t>
            </w:r>
          </w:p>
        </w:tc>
        <w:tc>
          <w:tcPr>
            <w:tcW w:w="1276" w:type="dxa"/>
            <w:shd w:val="clear" w:color="auto" w:fill="auto"/>
            <w:vAlign w:val="center"/>
          </w:tcPr>
          <w:p w14:paraId="2C50DDD0" w14:textId="1448D160" w:rsidR="00E22A5E" w:rsidRPr="005A3AEA" w:rsidRDefault="00E22A5E" w:rsidP="00E22A5E">
            <w:pPr>
              <w:jc w:val="center"/>
              <w:rPr>
                <w:spacing w:val="-4"/>
                <w:sz w:val="24"/>
                <w:szCs w:val="24"/>
              </w:rPr>
            </w:pPr>
            <w:r w:rsidRPr="005A3AEA">
              <w:rPr>
                <w:spacing w:val="-4"/>
                <w:sz w:val="24"/>
                <w:szCs w:val="24"/>
              </w:rPr>
              <w:t>X</w:t>
            </w:r>
          </w:p>
        </w:tc>
        <w:tc>
          <w:tcPr>
            <w:tcW w:w="1417" w:type="dxa"/>
            <w:shd w:val="clear" w:color="auto" w:fill="auto"/>
          </w:tcPr>
          <w:p w14:paraId="355A371A" w14:textId="16A63CF6" w:rsidR="00E22A5E" w:rsidRPr="00103F79" w:rsidRDefault="00E22A5E" w:rsidP="00E22A5E">
            <w:pPr>
              <w:pStyle w:val="naisf"/>
              <w:spacing w:before="0" w:beforeAutospacing="0" w:after="0" w:afterAutospacing="0"/>
              <w:ind w:right="57"/>
              <w:jc w:val="center"/>
            </w:pPr>
            <w:r>
              <w:t>0</w:t>
            </w:r>
          </w:p>
        </w:tc>
        <w:tc>
          <w:tcPr>
            <w:tcW w:w="1542" w:type="dxa"/>
          </w:tcPr>
          <w:p w14:paraId="61009F4F" w14:textId="2F5CD4FC" w:rsidR="00E22A5E" w:rsidRPr="00103F79" w:rsidRDefault="00E22A5E" w:rsidP="00E22A5E">
            <w:pPr>
              <w:pStyle w:val="naisf"/>
              <w:spacing w:before="0" w:beforeAutospacing="0" w:after="0" w:afterAutospacing="0"/>
              <w:ind w:right="57"/>
              <w:jc w:val="center"/>
            </w:pPr>
            <w:r w:rsidRPr="00717867">
              <w:t>0</w:t>
            </w:r>
          </w:p>
        </w:tc>
        <w:tc>
          <w:tcPr>
            <w:tcW w:w="1800" w:type="dxa"/>
          </w:tcPr>
          <w:p w14:paraId="6FEC82BF" w14:textId="60285331" w:rsidR="00E22A5E" w:rsidRPr="00103F79" w:rsidRDefault="00E22A5E" w:rsidP="00E22A5E">
            <w:pPr>
              <w:pStyle w:val="naisf"/>
              <w:spacing w:before="0" w:beforeAutospacing="0" w:after="0" w:afterAutospacing="0"/>
              <w:ind w:right="57"/>
              <w:jc w:val="center"/>
            </w:pPr>
            <w:r w:rsidRPr="00717867">
              <w:t>0</w:t>
            </w:r>
          </w:p>
        </w:tc>
        <w:tc>
          <w:tcPr>
            <w:tcW w:w="1903" w:type="dxa"/>
          </w:tcPr>
          <w:p w14:paraId="5F60CC8D" w14:textId="224B08B0" w:rsidR="00E22A5E" w:rsidRPr="00103F79" w:rsidRDefault="00E22A5E" w:rsidP="00E22A5E">
            <w:pPr>
              <w:pStyle w:val="naisf"/>
              <w:spacing w:before="0" w:beforeAutospacing="0" w:after="0" w:afterAutospacing="0"/>
              <w:ind w:right="57"/>
              <w:jc w:val="center"/>
            </w:pPr>
            <w:r w:rsidRPr="00717867">
              <w:t>0</w:t>
            </w:r>
          </w:p>
        </w:tc>
      </w:tr>
      <w:tr w:rsidR="00E22A5E" w:rsidRPr="00DE329E" w14:paraId="3E771E1D" w14:textId="77777777" w:rsidTr="00D708EB">
        <w:trPr>
          <w:trHeight w:val="20"/>
        </w:trPr>
        <w:tc>
          <w:tcPr>
            <w:tcW w:w="1951" w:type="dxa"/>
          </w:tcPr>
          <w:p w14:paraId="20DE7847" w14:textId="66EEB86F" w:rsidR="00E22A5E" w:rsidRPr="00103F79" w:rsidRDefault="00E22A5E" w:rsidP="00E22A5E">
            <w:pPr>
              <w:rPr>
                <w:spacing w:val="-4"/>
                <w:sz w:val="24"/>
                <w:szCs w:val="24"/>
              </w:rPr>
            </w:pPr>
            <w:r w:rsidRPr="005A3AEA">
              <w:rPr>
                <w:spacing w:val="-4"/>
                <w:sz w:val="24"/>
                <w:szCs w:val="24"/>
              </w:rPr>
              <w:t>5. Precizēta finansiālā ietekme</w:t>
            </w:r>
            <w:r>
              <w:rPr>
                <w:spacing w:val="-4"/>
                <w:sz w:val="24"/>
                <w:szCs w:val="24"/>
              </w:rPr>
              <w:t>:</w:t>
            </w:r>
          </w:p>
        </w:tc>
        <w:tc>
          <w:tcPr>
            <w:tcW w:w="1276" w:type="dxa"/>
            <w:vMerge w:val="restart"/>
            <w:shd w:val="clear" w:color="auto" w:fill="auto"/>
            <w:vAlign w:val="center"/>
          </w:tcPr>
          <w:p w14:paraId="11B90740" w14:textId="01EEEAF5" w:rsidR="00E22A5E" w:rsidRPr="00DE329E" w:rsidRDefault="00E22A5E" w:rsidP="00E22A5E">
            <w:pPr>
              <w:pStyle w:val="naisf"/>
              <w:spacing w:before="0" w:beforeAutospacing="0" w:after="0" w:afterAutospacing="0"/>
              <w:jc w:val="center"/>
              <w:rPr>
                <w:spacing w:val="-4"/>
              </w:rPr>
            </w:pPr>
            <w:r w:rsidRPr="000B7DE0">
              <w:rPr>
                <w:rFonts w:cstheme="minorBidi"/>
                <w:spacing w:val="-4"/>
              </w:rPr>
              <w:t>X</w:t>
            </w:r>
          </w:p>
        </w:tc>
        <w:tc>
          <w:tcPr>
            <w:tcW w:w="1417" w:type="dxa"/>
            <w:shd w:val="clear" w:color="auto" w:fill="auto"/>
          </w:tcPr>
          <w:p w14:paraId="0257D25C" w14:textId="2EBB05FD" w:rsidR="00E22A5E" w:rsidRPr="00103F79" w:rsidRDefault="00E22A5E" w:rsidP="00E22A5E">
            <w:pPr>
              <w:pStyle w:val="naisf"/>
              <w:spacing w:before="0" w:beforeAutospacing="0" w:after="0" w:afterAutospacing="0"/>
              <w:ind w:right="57"/>
              <w:jc w:val="center"/>
            </w:pPr>
            <w:r w:rsidRPr="0012610E">
              <w:t>0</w:t>
            </w:r>
          </w:p>
        </w:tc>
        <w:tc>
          <w:tcPr>
            <w:tcW w:w="1542" w:type="dxa"/>
          </w:tcPr>
          <w:p w14:paraId="7E2DB80F" w14:textId="30272536" w:rsidR="00E22A5E" w:rsidRPr="00103F79" w:rsidRDefault="00E22A5E" w:rsidP="00E22A5E">
            <w:pPr>
              <w:pStyle w:val="naisf"/>
              <w:spacing w:before="0" w:beforeAutospacing="0" w:after="0" w:afterAutospacing="0"/>
              <w:ind w:right="57"/>
              <w:jc w:val="center"/>
            </w:pPr>
            <w:r w:rsidRPr="00711ACD">
              <w:t>15 000</w:t>
            </w:r>
          </w:p>
        </w:tc>
        <w:tc>
          <w:tcPr>
            <w:tcW w:w="1800" w:type="dxa"/>
          </w:tcPr>
          <w:p w14:paraId="3AFB10D6" w14:textId="3AAC831D" w:rsidR="00E22A5E" w:rsidRPr="00103F79" w:rsidRDefault="00E22A5E" w:rsidP="00E22A5E">
            <w:pPr>
              <w:pStyle w:val="naisf"/>
              <w:spacing w:before="0" w:beforeAutospacing="0" w:after="0" w:afterAutospacing="0"/>
              <w:ind w:right="57"/>
              <w:jc w:val="center"/>
            </w:pPr>
            <w:r w:rsidRPr="00711ACD">
              <w:t>30 000</w:t>
            </w:r>
          </w:p>
        </w:tc>
        <w:tc>
          <w:tcPr>
            <w:tcW w:w="1903" w:type="dxa"/>
          </w:tcPr>
          <w:p w14:paraId="4CC1B630" w14:textId="7EFF9E44" w:rsidR="00E22A5E" w:rsidRPr="00103F79" w:rsidRDefault="00E22A5E" w:rsidP="00E22A5E">
            <w:pPr>
              <w:pStyle w:val="naisf"/>
              <w:spacing w:before="0" w:beforeAutospacing="0" w:after="0" w:afterAutospacing="0"/>
              <w:ind w:right="57"/>
              <w:jc w:val="center"/>
            </w:pPr>
            <w:r w:rsidRPr="00711ACD">
              <w:t>15 000</w:t>
            </w:r>
          </w:p>
        </w:tc>
      </w:tr>
      <w:tr w:rsidR="00E22A5E" w:rsidRPr="00DE329E" w14:paraId="0FB68968" w14:textId="77777777" w:rsidTr="00D708EB">
        <w:trPr>
          <w:trHeight w:val="20"/>
        </w:trPr>
        <w:tc>
          <w:tcPr>
            <w:tcW w:w="1951" w:type="dxa"/>
          </w:tcPr>
          <w:p w14:paraId="3AB98B4E" w14:textId="27C14D00" w:rsidR="00E22A5E" w:rsidRPr="005A3AEA" w:rsidRDefault="00E22A5E" w:rsidP="00E22A5E">
            <w:pPr>
              <w:rPr>
                <w:spacing w:val="-4"/>
                <w:sz w:val="24"/>
                <w:szCs w:val="24"/>
              </w:rPr>
            </w:pPr>
            <w:r w:rsidRPr="005A3AEA">
              <w:rPr>
                <w:spacing w:val="-4"/>
                <w:sz w:val="24"/>
                <w:szCs w:val="24"/>
              </w:rPr>
              <w:t>5.1. valsts pamatbudžets</w:t>
            </w:r>
          </w:p>
        </w:tc>
        <w:tc>
          <w:tcPr>
            <w:tcW w:w="1276" w:type="dxa"/>
            <w:vMerge/>
            <w:shd w:val="clear" w:color="auto" w:fill="auto"/>
          </w:tcPr>
          <w:p w14:paraId="7B21F817" w14:textId="77777777" w:rsidR="00E22A5E" w:rsidRPr="00DE329E" w:rsidRDefault="00E22A5E" w:rsidP="00E22A5E">
            <w:pPr>
              <w:pStyle w:val="naisf"/>
              <w:spacing w:before="0" w:beforeAutospacing="0" w:after="0" w:afterAutospacing="0"/>
              <w:jc w:val="center"/>
              <w:rPr>
                <w:spacing w:val="-4"/>
              </w:rPr>
            </w:pPr>
          </w:p>
        </w:tc>
        <w:tc>
          <w:tcPr>
            <w:tcW w:w="1417" w:type="dxa"/>
            <w:shd w:val="clear" w:color="auto" w:fill="auto"/>
          </w:tcPr>
          <w:p w14:paraId="61377281" w14:textId="57E18A42" w:rsidR="00E22A5E" w:rsidRPr="00103F79" w:rsidRDefault="00E22A5E" w:rsidP="00E22A5E">
            <w:pPr>
              <w:pStyle w:val="naisf"/>
              <w:spacing w:before="0" w:beforeAutospacing="0" w:after="0" w:afterAutospacing="0"/>
              <w:ind w:right="57"/>
              <w:jc w:val="center"/>
            </w:pPr>
            <w:r w:rsidRPr="0012610E">
              <w:t>0</w:t>
            </w:r>
          </w:p>
        </w:tc>
        <w:tc>
          <w:tcPr>
            <w:tcW w:w="1542" w:type="dxa"/>
          </w:tcPr>
          <w:p w14:paraId="2730AB49" w14:textId="31B2505B" w:rsidR="00E22A5E" w:rsidRPr="00103F79" w:rsidRDefault="00E22A5E" w:rsidP="00E22A5E">
            <w:pPr>
              <w:pStyle w:val="naisf"/>
              <w:spacing w:before="0" w:beforeAutospacing="0" w:after="0" w:afterAutospacing="0"/>
              <w:ind w:right="57"/>
              <w:jc w:val="center"/>
            </w:pPr>
            <w:r w:rsidRPr="00711ACD">
              <w:t>15 000</w:t>
            </w:r>
          </w:p>
        </w:tc>
        <w:tc>
          <w:tcPr>
            <w:tcW w:w="1800" w:type="dxa"/>
          </w:tcPr>
          <w:p w14:paraId="1127E2FE" w14:textId="33364E7B" w:rsidR="00E22A5E" w:rsidRPr="00103F79" w:rsidRDefault="00E22A5E" w:rsidP="00E22A5E">
            <w:pPr>
              <w:pStyle w:val="naisf"/>
              <w:spacing w:before="0" w:beforeAutospacing="0" w:after="0" w:afterAutospacing="0"/>
              <w:ind w:right="57"/>
              <w:jc w:val="center"/>
            </w:pPr>
            <w:r w:rsidRPr="00711ACD">
              <w:t>30 000</w:t>
            </w:r>
          </w:p>
        </w:tc>
        <w:tc>
          <w:tcPr>
            <w:tcW w:w="1903" w:type="dxa"/>
          </w:tcPr>
          <w:p w14:paraId="423BEB16" w14:textId="754C8089" w:rsidR="00E22A5E" w:rsidRPr="00103F79" w:rsidRDefault="00E22A5E" w:rsidP="00E22A5E">
            <w:pPr>
              <w:pStyle w:val="naisf"/>
              <w:spacing w:before="0" w:beforeAutospacing="0" w:after="0" w:afterAutospacing="0"/>
              <w:ind w:right="57"/>
              <w:jc w:val="center"/>
            </w:pPr>
            <w:r w:rsidRPr="00711ACD">
              <w:t>15 000</w:t>
            </w:r>
          </w:p>
        </w:tc>
      </w:tr>
      <w:tr w:rsidR="005A3AEA" w:rsidRPr="00DE329E" w14:paraId="32EEB951" w14:textId="77777777" w:rsidTr="00D708EB">
        <w:trPr>
          <w:trHeight w:val="20"/>
        </w:trPr>
        <w:tc>
          <w:tcPr>
            <w:tcW w:w="1951" w:type="dxa"/>
          </w:tcPr>
          <w:p w14:paraId="46CDE6D3" w14:textId="49149A27" w:rsidR="005A3AEA" w:rsidRPr="005A3AEA" w:rsidRDefault="005A3AEA" w:rsidP="005A3AEA">
            <w:pPr>
              <w:rPr>
                <w:spacing w:val="-4"/>
                <w:sz w:val="24"/>
                <w:szCs w:val="24"/>
              </w:rPr>
            </w:pPr>
            <w:r w:rsidRPr="005A3AEA">
              <w:rPr>
                <w:spacing w:val="-4"/>
                <w:sz w:val="24"/>
                <w:szCs w:val="24"/>
              </w:rPr>
              <w:t>5.2. speciālais budžets</w:t>
            </w:r>
          </w:p>
        </w:tc>
        <w:tc>
          <w:tcPr>
            <w:tcW w:w="1276" w:type="dxa"/>
            <w:vMerge/>
            <w:shd w:val="clear" w:color="auto" w:fill="auto"/>
          </w:tcPr>
          <w:p w14:paraId="641D152D" w14:textId="77777777" w:rsidR="005A3AEA" w:rsidRPr="00DE329E" w:rsidRDefault="005A3AEA" w:rsidP="005A3AEA">
            <w:pPr>
              <w:pStyle w:val="naisf"/>
              <w:spacing w:before="0" w:beforeAutospacing="0" w:after="0" w:afterAutospacing="0"/>
              <w:jc w:val="center"/>
              <w:rPr>
                <w:spacing w:val="-4"/>
              </w:rPr>
            </w:pPr>
          </w:p>
        </w:tc>
        <w:tc>
          <w:tcPr>
            <w:tcW w:w="1417" w:type="dxa"/>
            <w:shd w:val="clear" w:color="auto" w:fill="auto"/>
          </w:tcPr>
          <w:p w14:paraId="4AC24819" w14:textId="0281ED88" w:rsidR="005A3AEA" w:rsidRPr="00103F79" w:rsidRDefault="005A3AEA" w:rsidP="005A3AEA">
            <w:pPr>
              <w:pStyle w:val="naisf"/>
              <w:spacing w:before="0" w:beforeAutospacing="0" w:after="0" w:afterAutospacing="0"/>
              <w:ind w:right="57"/>
              <w:jc w:val="center"/>
            </w:pPr>
            <w:r w:rsidRPr="0012610E">
              <w:t>0</w:t>
            </w:r>
          </w:p>
        </w:tc>
        <w:tc>
          <w:tcPr>
            <w:tcW w:w="1542" w:type="dxa"/>
          </w:tcPr>
          <w:p w14:paraId="1A54BE60" w14:textId="344D1E0B" w:rsidR="005A3AEA" w:rsidRPr="00103F79" w:rsidRDefault="005A3AEA" w:rsidP="005A3AEA">
            <w:pPr>
              <w:pStyle w:val="naisf"/>
              <w:spacing w:before="0" w:beforeAutospacing="0" w:after="0" w:afterAutospacing="0"/>
              <w:ind w:right="57"/>
              <w:jc w:val="center"/>
            </w:pPr>
            <w:r w:rsidRPr="0012610E">
              <w:t>0</w:t>
            </w:r>
          </w:p>
        </w:tc>
        <w:tc>
          <w:tcPr>
            <w:tcW w:w="1800" w:type="dxa"/>
          </w:tcPr>
          <w:p w14:paraId="401833CE" w14:textId="7B035A38" w:rsidR="005A3AEA" w:rsidRPr="00103F79" w:rsidRDefault="005A3AEA" w:rsidP="005A3AEA">
            <w:pPr>
              <w:pStyle w:val="naisf"/>
              <w:spacing w:before="0" w:beforeAutospacing="0" w:after="0" w:afterAutospacing="0"/>
              <w:ind w:right="57"/>
              <w:jc w:val="center"/>
            </w:pPr>
            <w:r w:rsidRPr="0012610E">
              <w:t>0</w:t>
            </w:r>
          </w:p>
        </w:tc>
        <w:tc>
          <w:tcPr>
            <w:tcW w:w="1903" w:type="dxa"/>
          </w:tcPr>
          <w:p w14:paraId="7B8831E3" w14:textId="2A84A5C6" w:rsidR="005A3AEA" w:rsidRPr="00103F79" w:rsidRDefault="005A3AEA" w:rsidP="005A3AEA">
            <w:pPr>
              <w:pStyle w:val="naisf"/>
              <w:spacing w:before="0" w:beforeAutospacing="0" w:after="0" w:afterAutospacing="0"/>
              <w:ind w:right="57"/>
              <w:jc w:val="center"/>
            </w:pPr>
            <w:r w:rsidRPr="0012610E">
              <w:t>0</w:t>
            </w:r>
          </w:p>
        </w:tc>
      </w:tr>
      <w:tr w:rsidR="005A3AEA" w:rsidRPr="00DE329E" w14:paraId="521935B8" w14:textId="77777777" w:rsidTr="00D708EB">
        <w:trPr>
          <w:trHeight w:val="20"/>
        </w:trPr>
        <w:tc>
          <w:tcPr>
            <w:tcW w:w="1951" w:type="dxa"/>
          </w:tcPr>
          <w:p w14:paraId="615E6378" w14:textId="3EBD678E" w:rsidR="005A3AEA" w:rsidRPr="005A3AEA" w:rsidRDefault="005A3AEA" w:rsidP="005A3AEA">
            <w:pPr>
              <w:rPr>
                <w:spacing w:val="-4"/>
                <w:sz w:val="24"/>
                <w:szCs w:val="24"/>
              </w:rPr>
            </w:pPr>
            <w:r w:rsidRPr="005A3AEA">
              <w:rPr>
                <w:spacing w:val="-4"/>
                <w:sz w:val="24"/>
                <w:szCs w:val="24"/>
              </w:rPr>
              <w:t>5.3. pašvaldību budžets</w:t>
            </w:r>
          </w:p>
        </w:tc>
        <w:tc>
          <w:tcPr>
            <w:tcW w:w="1276" w:type="dxa"/>
            <w:vMerge/>
            <w:shd w:val="clear" w:color="auto" w:fill="auto"/>
          </w:tcPr>
          <w:p w14:paraId="7D1AD2E0" w14:textId="77777777" w:rsidR="005A3AEA" w:rsidRPr="00DE329E" w:rsidRDefault="005A3AEA" w:rsidP="005A3AEA">
            <w:pPr>
              <w:pStyle w:val="naisf"/>
              <w:spacing w:before="0" w:beforeAutospacing="0" w:after="0" w:afterAutospacing="0"/>
              <w:jc w:val="center"/>
              <w:rPr>
                <w:spacing w:val="-4"/>
              </w:rPr>
            </w:pPr>
          </w:p>
        </w:tc>
        <w:tc>
          <w:tcPr>
            <w:tcW w:w="1417" w:type="dxa"/>
            <w:shd w:val="clear" w:color="auto" w:fill="auto"/>
          </w:tcPr>
          <w:p w14:paraId="0918C4E1" w14:textId="4D822EEE" w:rsidR="005A3AEA" w:rsidRPr="00103F79" w:rsidRDefault="005A3AEA" w:rsidP="005A3AEA">
            <w:pPr>
              <w:pStyle w:val="naisf"/>
              <w:spacing w:before="0" w:beforeAutospacing="0" w:after="0" w:afterAutospacing="0"/>
              <w:ind w:right="57"/>
              <w:jc w:val="center"/>
            </w:pPr>
            <w:r w:rsidRPr="0012610E">
              <w:t>0</w:t>
            </w:r>
          </w:p>
        </w:tc>
        <w:tc>
          <w:tcPr>
            <w:tcW w:w="1542" w:type="dxa"/>
          </w:tcPr>
          <w:p w14:paraId="164595A0" w14:textId="0D8655A7" w:rsidR="005A3AEA" w:rsidRPr="00103F79" w:rsidRDefault="005A3AEA" w:rsidP="005A3AEA">
            <w:pPr>
              <w:pStyle w:val="naisf"/>
              <w:spacing w:before="0" w:beforeAutospacing="0" w:after="0" w:afterAutospacing="0"/>
              <w:ind w:right="57"/>
              <w:jc w:val="center"/>
            </w:pPr>
            <w:r w:rsidRPr="0012610E">
              <w:t>0</w:t>
            </w:r>
          </w:p>
        </w:tc>
        <w:tc>
          <w:tcPr>
            <w:tcW w:w="1800" w:type="dxa"/>
          </w:tcPr>
          <w:p w14:paraId="0689E336" w14:textId="4AA908FC" w:rsidR="005A3AEA" w:rsidRPr="00103F79" w:rsidRDefault="005A3AEA" w:rsidP="005A3AEA">
            <w:pPr>
              <w:pStyle w:val="naisf"/>
              <w:spacing w:before="0" w:beforeAutospacing="0" w:after="0" w:afterAutospacing="0"/>
              <w:ind w:right="57"/>
              <w:jc w:val="center"/>
            </w:pPr>
            <w:r w:rsidRPr="0012610E">
              <w:t>0</w:t>
            </w:r>
          </w:p>
        </w:tc>
        <w:tc>
          <w:tcPr>
            <w:tcW w:w="1903" w:type="dxa"/>
          </w:tcPr>
          <w:p w14:paraId="72DE380D" w14:textId="3DD8781E" w:rsidR="005A3AEA" w:rsidRPr="00103F79" w:rsidRDefault="005A3AEA" w:rsidP="005A3AEA">
            <w:pPr>
              <w:pStyle w:val="naisf"/>
              <w:spacing w:before="0" w:beforeAutospacing="0" w:after="0" w:afterAutospacing="0"/>
              <w:ind w:right="57"/>
              <w:jc w:val="center"/>
            </w:pPr>
            <w:r w:rsidRPr="0012610E">
              <w:t>0</w:t>
            </w:r>
          </w:p>
        </w:tc>
      </w:tr>
      <w:tr w:rsidR="005A3AEA" w:rsidRPr="00DE329E" w14:paraId="7E6A4681" w14:textId="77777777" w:rsidTr="00D708EB">
        <w:trPr>
          <w:trHeight w:val="20"/>
        </w:trPr>
        <w:tc>
          <w:tcPr>
            <w:tcW w:w="1951" w:type="dxa"/>
          </w:tcPr>
          <w:p w14:paraId="3A1CCD64" w14:textId="090D14C7" w:rsidR="005A3AEA" w:rsidRPr="00103F79" w:rsidRDefault="005A3AEA" w:rsidP="007F2E94">
            <w:pPr>
              <w:rPr>
                <w:spacing w:val="-4"/>
                <w:sz w:val="24"/>
                <w:szCs w:val="24"/>
              </w:rPr>
            </w:pPr>
            <w:r w:rsidRPr="005A3AEA">
              <w:rPr>
                <w:spacing w:val="-4"/>
                <w:sz w:val="24"/>
                <w:szCs w:val="24"/>
              </w:rPr>
              <w:t>6. Detalizēts ieņēmumu un izdevumu aprēķins (ja nepieciešams, detalizētu ieņēmumu un izdevumu aprēķinu var pievienot anotācijas pielikumā)</w:t>
            </w:r>
          </w:p>
        </w:tc>
        <w:tc>
          <w:tcPr>
            <w:tcW w:w="7938" w:type="dxa"/>
            <w:gridSpan w:val="5"/>
            <w:vMerge w:val="restart"/>
            <w:shd w:val="clear" w:color="auto" w:fill="auto"/>
          </w:tcPr>
          <w:p w14:paraId="23109BC8" w14:textId="4F612F96" w:rsidR="005A3AEA" w:rsidRDefault="005A3AEA" w:rsidP="005A3AEA">
            <w:pPr>
              <w:pStyle w:val="naisf"/>
              <w:spacing w:before="0" w:beforeAutospacing="0" w:after="0" w:afterAutospacing="0"/>
              <w:ind w:right="57"/>
              <w:jc w:val="both"/>
            </w:pPr>
            <w:r>
              <w:t>3.4.2.1.</w:t>
            </w:r>
            <w:r w:rsidR="00046648">
              <w:t> </w:t>
            </w:r>
            <w:r>
              <w:t>pasākumam kopējais plānotais finansējums pēc veiktajiem grozījumiem (kopējās attiecināmās izmaksas) ir 8 181 616 </w:t>
            </w:r>
            <w:r w:rsidRPr="005A3AEA">
              <w:rPr>
                <w:i/>
              </w:rPr>
              <w:t>euro</w:t>
            </w:r>
            <w:r>
              <w:t>, tai skaitā Eiropas Sociālā fonda finansējums –</w:t>
            </w:r>
            <w:r w:rsidR="00E22A5E">
              <w:t xml:space="preserve"> </w:t>
            </w:r>
            <w:r>
              <w:t>6 954 374 </w:t>
            </w:r>
            <w:r w:rsidRPr="005A3AEA">
              <w:rPr>
                <w:i/>
              </w:rPr>
              <w:t>euro</w:t>
            </w:r>
            <w:r>
              <w:t xml:space="preserve"> un valsts budžeta finansējums –1 227 242 </w:t>
            </w:r>
            <w:r w:rsidRPr="005A3AEA">
              <w:rPr>
                <w:i/>
              </w:rPr>
              <w:t>euro</w:t>
            </w:r>
            <w:r w:rsidR="00E22A5E">
              <w:t>.</w:t>
            </w:r>
          </w:p>
          <w:p w14:paraId="4F351F66" w14:textId="33057C33" w:rsidR="005A3AEA" w:rsidRDefault="005A3AEA" w:rsidP="005A3AEA">
            <w:pPr>
              <w:pStyle w:val="naisf"/>
              <w:spacing w:before="0" w:beforeAutospacing="0" w:after="0" w:afterAutospacing="0"/>
              <w:ind w:right="57"/>
              <w:jc w:val="both"/>
            </w:pPr>
            <w:r>
              <w:t>3.4.2.1. pasākuma finanšu rādītājs – apgūti 100 % no pasākumam paredzētā kopējā attiecināmā finansējuma, tai skaitā līdz 2018. gada 31. decembrim –3 132 164 </w:t>
            </w:r>
            <w:r w:rsidRPr="005A3AEA">
              <w:rPr>
                <w:i/>
              </w:rPr>
              <w:t>euro</w:t>
            </w:r>
            <w:r>
              <w:t>. Budžeta ieņēmumi ir finansējuma ESF daļa 85 % apmērā no projektu attiecināmajām izmaksām.</w:t>
            </w:r>
          </w:p>
          <w:p w14:paraId="44025A6E" w14:textId="77777777" w:rsidR="005A3AEA" w:rsidRDefault="005A3AEA" w:rsidP="005A3AEA">
            <w:pPr>
              <w:pStyle w:val="naisf"/>
              <w:spacing w:before="0" w:beforeAutospacing="0" w:after="0" w:afterAutospacing="0"/>
              <w:ind w:right="57"/>
              <w:jc w:val="both"/>
            </w:pPr>
            <w:r>
              <w:t>Budžeta izdevumi ir kopējie projektu ieviešanai nepieciešamie līdzekļi attiecīgajā gadā. Visas izmaksas, kas ietvertas šajā sadaļā un raksturo paredzamo finanšu plūsmu pa attiecīgajiem gadiem, ir indikatīvas.</w:t>
            </w:r>
          </w:p>
          <w:p w14:paraId="295407A7" w14:textId="6ACD9A9B" w:rsidR="005A3AEA" w:rsidRDefault="005A3AEA" w:rsidP="005A3AEA">
            <w:pPr>
              <w:pStyle w:val="naisf"/>
              <w:spacing w:before="0" w:beforeAutospacing="0" w:after="0" w:afterAutospacing="0"/>
              <w:ind w:right="57"/>
              <w:jc w:val="both"/>
            </w:pPr>
            <w:r>
              <w:t xml:space="preserve">Valsts administrācijas skola (turpmāk – VAS) pēc noteikumu projekta apstiprināšanas, bet ne vēlāk kā 2 mēnešu laikā veiks grozījumus projektā </w:t>
            </w:r>
            <w:r w:rsidR="00711F5C">
              <w:t>"</w:t>
            </w:r>
            <w:r>
              <w:t>Valsts pārvaldes cilvēkresursu profesionālā pilnveide labāka regulējuma izstrādē mazo un vidējo komersantu atbalsta jomā</w:t>
            </w:r>
            <w:r w:rsidR="00711F5C">
              <w:t>"</w:t>
            </w:r>
            <w:r>
              <w:t xml:space="preserve"> un </w:t>
            </w:r>
            <w:r w:rsidR="00711F5C">
              <w:t>"</w:t>
            </w:r>
            <w:r>
              <w:t>Valsts pārvaldes cilvēkresursu profesionālā pilnveide korupcijas novēršanas un ēnu ekonomikas mazināšanas jomā</w:t>
            </w:r>
            <w:r w:rsidR="00711F5C">
              <w:t>"</w:t>
            </w:r>
            <w:r>
              <w:t xml:space="preserve">, </w:t>
            </w:r>
            <w:r w:rsidR="00A65E4D" w:rsidRPr="00A65E4D">
              <w:t xml:space="preserve">katrā </w:t>
            </w:r>
            <w:r w:rsidR="00046648">
              <w:t xml:space="preserve">projektā samazinot finansējumu </w:t>
            </w:r>
            <w:r w:rsidR="00A65E4D" w:rsidRPr="00A65E4D">
              <w:t xml:space="preserve">par 200 000 </w:t>
            </w:r>
            <w:r w:rsidR="00A65E4D" w:rsidRPr="00046648">
              <w:rPr>
                <w:i/>
              </w:rPr>
              <w:t>euro</w:t>
            </w:r>
            <w:r>
              <w:t xml:space="preserve">. </w:t>
            </w:r>
          </w:p>
          <w:p w14:paraId="17B65568" w14:textId="0D7575E7" w:rsidR="005A3AEA" w:rsidRDefault="005A3AEA" w:rsidP="000A03AD">
            <w:pPr>
              <w:pStyle w:val="naisf"/>
              <w:spacing w:before="0" w:beforeAutospacing="0" w:after="0" w:afterAutospacing="0"/>
              <w:ind w:right="57"/>
              <w:jc w:val="both"/>
            </w:pPr>
            <w:r>
              <w:t>Līdzekļu samazinājuma ietekme 3.4.2.1. pasākumā būs, sākot ar 2019. gadu, un vienmērīgi turpināsies līdz projektu noslēgumam 2022. gadā. Tā kā projektiem līdz 2018. gada 31. decembrim ir jāsasniedz SAM noteiktais finanšu rādītājs, kas kopā veido 3 132 164 </w:t>
            </w:r>
            <w:r w:rsidRPr="005A3AEA">
              <w:rPr>
                <w:i/>
              </w:rPr>
              <w:t>euro</w:t>
            </w:r>
            <w:r>
              <w:t>, tad finansējumu, kas projektos ir ieplānots līdz 2018. gadam, ir jāapgūst sākotnēji plānotajā apmērā</w:t>
            </w:r>
            <w:r w:rsidR="00046648">
              <w:t>,</w:t>
            </w:r>
            <w:r>
              <w:t xml:space="preserve"> </w:t>
            </w:r>
            <w:r w:rsidR="00046648">
              <w:t>t</w:t>
            </w:r>
            <w:r>
              <w:t>o nedrīkst samazināt, līdz ar to uz finanšu rādītāju finansējuma samazinājums ietekmi neatstās, tas pats ir attiecināms arī uz iznākuma starpposma vērtību, kā arī uz gala iznākuma un rezultāta rādītājiem.</w:t>
            </w:r>
            <w:r w:rsidR="00E87F0D">
              <w:t xml:space="preserve"> Uzraudzības rādītāju izpilde attiecībā uz apmācīto un profesionālo kompetenci paaugstinājušo mācību dalībnieku skaitu norit straujāk</w:t>
            </w:r>
            <w:r w:rsidR="00046648">
              <w:t>,</w:t>
            </w:r>
            <w:r w:rsidR="00E87F0D">
              <w:t xml:space="preserve"> nekā sākotnēji plānots</w:t>
            </w:r>
            <w:r>
              <w:t xml:space="preserve">, ņemot vērā </w:t>
            </w:r>
            <w:r w:rsidR="00046648">
              <w:t>gan</w:t>
            </w:r>
            <w:r w:rsidR="00046648">
              <w:t xml:space="preserve"> </w:t>
            </w:r>
            <w:r w:rsidR="00046648">
              <w:t xml:space="preserve">mērķa grupas </w:t>
            </w:r>
            <w:r>
              <w:t xml:space="preserve">lielo interesi </w:t>
            </w:r>
            <w:r w:rsidR="008260B5">
              <w:t xml:space="preserve">iesaistīties apmācībās </w:t>
            </w:r>
            <w:r w:rsidR="00AA4622">
              <w:t>un valsts budžeta ierobežot</w:t>
            </w:r>
            <w:r w:rsidR="00046648">
              <w:t>ās</w:t>
            </w:r>
            <w:r w:rsidR="00AA4622">
              <w:t xml:space="preserve"> iespēj</w:t>
            </w:r>
            <w:r w:rsidR="00046648">
              <w:t>as</w:t>
            </w:r>
            <w:r w:rsidR="00AA4622">
              <w:t xml:space="preserve"> finansēt valsts apmācību pasākumus,</w:t>
            </w:r>
            <w:r w:rsidR="008260B5">
              <w:t xml:space="preserve"> gan arī</w:t>
            </w:r>
            <w:r w:rsidR="00AA4622">
              <w:t xml:space="preserve"> iespējas kombinēt VAS Eiropas Sociālā fonda projektu realizāciju ar citu Eiropas Komisijas finansēto programmu projekt</w:t>
            </w:r>
            <w:r w:rsidR="00490198">
              <w:t>u darbībām</w:t>
            </w:r>
            <w:r w:rsidR="00AA4622">
              <w:t xml:space="preserve"> (piemēram, Finanšu ministrijas īstenotais Strukturālo reformu atbalsta servisa programmas projekts </w:t>
            </w:r>
            <w:r w:rsidR="00711F5C">
              <w:t>"</w:t>
            </w:r>
            <w:r w:rsidR="00490198" w:rsidRPr="00490198">
              <w:t>AML Training Programme</w:t>
            </w:r>
            <w:r w:rsidR="00711F5C">
              <w:t>"</w:t>
            </w:r>
            <w:r w:rsidR="00490198">
              <w:t>), kā rezultātā veidojas daļēja finansējuma ekonomija</w:t>
            </w:r>
            <w:r>
              <w:t>.</w:t>
            </w:r>
            <w:r w:rsidR="00AA4622">
              <w:t xml:space="preserve"> </w:t>
            </w:r>
            <w:r w:rsidR="00490198">
              <w:t xml:space="preserve">Papildus tam lēmums par finansējuma pārdali no 3.4.2.1. pasākuma projektiem uz 3.4.2.3. pasākumu ir saistīts ar valsts pārvaldes apņemšanos </w:t>
            </w:r>
            <w:r w:rsidR="000D05EB">
              <w:t>celt publisko pakalpojumu vērtību, izstrādājot metodiku pakalpojumu sniegšanas pamatprocesu identificēšanai un pārveides iespēju noteikšanai no iedzīvotāju un uzņēmēju vajadzību viedokļa (</w:t>
            </w:r>
            <w:r w:rsidR="000D05EB" w:rsidRPr="000D05EB">
              <w:t>Valsts pārvaldes r</w:t>
            </w:r>
            <w:r w:rsidR="000D05EB">
              <w:t>eformu plāna 2020 (projekts) 7.1. uzdevums)</w:t>
            </w:r>
            <w:r w:rsidR="00490198">
              <w:t xml:space="preserve">, kā arī papildus </w:t>
            </w:r>
            <w:r w:rsidR="000D05EB">
              <w:t xml:space="preserve">diversificēt riskus, </w:t>
            </w:r>
            <w:r w:rsidR="00490198">
              <w:t>nodrošin</w:t>
            </w:r>
            <w:r w:rsidR="000D05EB">
              <w:t>o</w:t>
            </w:r>
            <w:r w:rsidR="00490198">
              <w:t xml:space="preserve">ties pret 3.4.2. SAM snieguma ietvara rādītāju </w:t>
            </w:r>
            <w:r w:rsidR="000D05EB">
              <w:t>neizpildi</w:t>
            </w:r>
            <w:r w:rsidR="00490198">
              <w:t xml:space="preserve">. </w:t>
            </w:r>
          </w:p>
          <w:p w14:paraId="48F7320D" w14:textId="77777777" w:rsidR="005A3AEA" w:rsidRDefault="005A3AEA" w:rsidP="005A3AEA">
            <w:pPr>
              <w:pStyle w:val="naisf"/>
              <w:spacing w:before="0" w:beforeAutospacing="0" w:after="0" w:afterAutospacing="0"/>
              <w:ind w:right="57"/>
              <w:jc w:val="both"/>
            </w:pPr>
            <w:r>
              <w:t>2017. gada budžetu izmaiņas neskars, jo ir plānots uzsākt 3.4.2.3. pasākuma projekta īstenošanu 2018. gadā.</w:t>
            </w:r>
          </w:p>
          <w:p w14:paraId="4E47EA33" w14:textId="6E38D191" w:rsidR="005A3AEA" w:rsidRDefault="005A3AEA" w:rsidP="005A3AEA">
            <w:pPr>
              <w:pStyle w:val="naisf"/>
              <w:spacing w:before="0" w:beforeAutospacing="0" w:after="0" w:afterAutospacing="0"/>
              <w:ind w:right="57"/>
              <w:jc w:val="both"/>
            </w:pPr>
            <w:r>
              <w:t>2018. gada budžetu izmaiņas skar</w:t>
            </w:r>
            <w:r w:rsidR="00046648">
              <w:t>,</w:t>
            </w:r>
            <w:r>
              <w:t xml:space="preserve"> sākot ar 2018.gada otro pusi, ņemot vērā, ka ir noteikta finanšu starpvērtība, kas jāsasniedz līdz 2018. gada vidum.</w:t>
            </w:r>
          </w:p>
          <w:p w14:paraId="33C74336" w14:textId="15DBDEFD" w:rsidR="005A3AEA" w:rsidRPr="005A3AEA" w:rsidRDefault="00A65E4D" w:rsidP="005A3AEA">
            <w:pPr>
              <w:pStyle w:val="naisf"/>
              <w:spacing w:before="0" w:beforeAutospacing="0" w:after="0" w:afterAutospacing="0"/>
              <w:ind w:right="57"/>
              <w:jc w:val="both"/>
            </w:pPr>
            <w:r>
              <w:t>2018</w:t>
            </w:r>
            <w:r w:rsidR="005A3AEA">
              <w:t>.</w:t>
            </w:r>
            <w:r>
              <w:t xml:space="preserve"> gada budžets 3.4.2.1. pasākuma finansējumam tiks samazināts par 1</w:t>
            </w:r>
            <w:r w:rsidR="005A3AEA">
              <w:t>00 000 </w:t>
            </w:r>
            <w:r w:rsidR="005A3AEA" w:rsidRPr="005A3AEA">
              <w:rPr>
                <w:i/>
              </w:rPr>
              <w:t>euro</w:t>
            </w:r>
            <w:r w:rsidR="005A3AEA">
              <w:t>,</w:t>
            </w:r>
            <w:r>
              <w:t xml:space="preserve"> 2019.gada budžets</w:t>
            </w:r>
            <w:r w:rsidR="00046648">
              <w:t xml:space="preserve"> –</w:t>
            </w:r>
            <w:r>
              <w:t xml:space="preserve"> par 200 000 </w:t>
            </w:r>
            <w:r w:rsidRPr="00A65E4D">
              <w:rPr>
                <w:i/>
              </w:rPr>
              <w:t>euro</w:t>
            </w:r>
            <w:r>
              <w:t>,</w:t>
            </w:r>
            <w:r w:rsidR="005A3AEA">
              <w:t xml:space="preserve"> savukārt 2020. gada budžets</w:t>
            </w:r>
            <w:r w:rsidR="00046648">
              <w:t xml:space="preserve"> –</w:t>
            </w:r>
            <w:r w:rsidR="005A3AEA">
              <w:t xml:space="preserve"> par 100 000 </w:t>
            </w:r>
            <w:r w:rsidR="005A3AEA" w:rsidRPr="005A3AEA">
              <w:rPr>
                <w:i/>
              </w:rPr>
              <w:t>euro</w:t>
            </w:r>
            <w:r w:rsidR="005A3AEA">
              <w:t>.</w:t>
            </w:r>
          </w:p>
        </w:tc>
      </w:tr>
      <w:tr w:rsidR="005A3AEA" w:rsidRPr="00DE329E" w14:paraId="645F467B" w14:textId="77777777" w:rsidTr="00D708EB">
        <w:trPr>
          <w:trHeight w:val="20"/>
        </w:trPr>
        <w:tc>
          <w:tcPr>
            <w:tcW w:w="1951" w:type="dxa"/>
          </w:tcPr>
          <w:p w14:paraId="54AB5997" w14:textId="4CA2A93C" w:rsidR="005A3AEA" w:rsidRPr="00103F79" w:rsidRDefault="005A3AEA" w:rsidP="007F2E94">
            <w:pPr>
              <w:rPr>
                <w:spacing w:val="-4"/>
                <w:sz w:val="24"/>
                <w:szCs w:val="24"/>
              </w:rPr>
            </w:pPr>
            <w:r w:rsidRPr="005A3AEA">
              <w:rPr>
                <w:spacing w:val="-4"/>
                <w:sz w:val="24"/>
                <w:szCs w:val="24"/>
              </w:rPr>
              <w:t>6.1. detalizēts ieņēmumu aprēķins</w:t>
            </w:r>
          </w:p>
        </w:tc>
        <w:tc>
          <w:tcPr>
            <w:tcW w:w="7938" w:type="dxa"/>
            <w:gridSpan w:val="5"/>
            <w:vMerge/>
            <w:shd w:val="clear" w:color="auto" w:fill="auto"/>
          </w:tcPr>
          <w:p w14:paraId="163402E2" w14:textId="77777777" w:rsidR="005A3AEA" w:rsidRPr="00103F79" w:rsidRDefault="005A3AEA" w:rsidP="00103F79">
            <w:pPr>
              <w:pStyle w:val="naisf"/>
              <w:spacing w:before="0" w:beforeAutospacing="0" w:after="0" w:afterAutospacing="0"/>
              <w:ind w:right="57"/>
              <w:jc w:val="center"/>
            </w:pPr>
          </w:p>
        </w:tc>
      </w:tr>
      <w:tr w:rsidR="005A3AEA" w:rsidRPr="00DE329E" w14:paraId="284B11DC" w14:textId="77777777" w:rsidTr="00D708EB">
        <w:trPr>
          <w:trHeight w:val="20"/>
        </w:trPr>
        <w:tc>
          <w:tcPr>
            <w:tcW w:w="1951" w:type="dxa"/>
          </w:tcPr>
          <w:p w14:paraId="14BBF7AB" w14:textId="22637399" w:rsidR="005A3AEA" w:rsidRPr="00103F79" w:rsidRDefault="005A3AEA" w:rsidP="007F2E94">
            <w:pPr>
              <w:rPr>
                <w:spacing w:val="-4"/>
                <w:sz w:val="24"/>
                <w:szCs w:val="24"/>
              </w:rPr>
            </w:pPr>
            <w:r w:rsidRPr="005A3AEA">
              <w:rPr>
                <w:spacing w:val="-4"/>
                <w:sz w:val="24"/>
                <w:szCs w:val="24"/>
              </w:rPr>
              <w:t>6.2. detalizēts izdevumu aprēķins</w:t>
            </w:r>
          </w:p>
        </w:tc>
        <w:tc>
          <w:tcPr>
            <w:tcW w:w="7938" w:type="dxa"/>
            <w:gridSpan w:val="5"/>
            <w:vMerge/>
            <w:shd w:val="clear" w:color="auto" w:fill="auto"/>
          </w:tcPr>
          <w:p w14:paraId="4102ED01" w14:textId="77777777" w:rsidR="005A3AEA" w:rsidRPr="00103F79" w:rsidRDefault="005A3AEA" w:rsidP="00103F79">
            <w:pPr>
              <w:pStyle w:val="naisf"/>
              <w:spacing w:before="0" w:beforeAutospacing="0" w:after="0" w:afterAutospacing="0"/>
              <w:ind w:right="57"/>
              <w:jc w:val="center"/>
            </w:pPr>
          </w:p>
        </w:tc>
      </w:tr>
      <w:tr w:rsidR="005A3AEA" w:rsidRPr="00DE329E" w14:paraId="2D08AB18" w14:textId="77777777" w:rsidTr="00D708EB">
        <w:trPr>
          <w:trHeight w:val="20"/>
        </w:trPr>
        <w:tc>
          <w:tcPr>
            <w:tcW w:w="1951" w:type="dxa"/>
          </w:tcPr>
          <w:p w14:paraId="7E477736" w14:textId="54141387" w:rsidR="005A3AEA" w:rsidRPr="00103F79" w:rsidRDefault="005A3AEA" w:rsidP="007F2E94">
            <w:pPr>
              <w:rPr>
                <w:spacing w:val="-4"/>
                <w:sz w:val="24"/>
                <w:szCs w:val="24"/>
              </w:rPr>
            </w:pPr>
            <w:r w:rsidRPr="005A3AEA">
              <w:rPr>
                <w:spacing w:val="-4"/>
                <w:sz w:val="24"/>
                <w:szCs w:val="24"/>
              </w:rPr>
              <w:t>7. Cita informācija</w:t>
            </w:r>
          </w:p>
        </w:tc>
        <w:tc>
          <w:tcPr>
            <w:tcW w:w="7938" w:type="dxa"/>
            <w:gridSpan w:val="5"/>
            <w:shd w:val="clear" w:color="auto" w:fill="auto"/>
          </w:tcPr>
          <w:p w14:paraId="6455075F" w14:textId="7EC8E149" w:rsidR="005A3AEA" w:rsidRPr="00103F79" w:rsidRDefault="00014D32" w:rsidP="005A3AEA">
            <w:pPr>
              <w:pStyle w:val="naisf"/>
              <w:spacing w:before="0" w:beforeAutospacing="0" w:after="0" w:afterAutospacing="0"/>
              <w:ind w:right="57"/>
              <w:jc w:val="both"/>
            </w:pPr>
            <w:r>
              <w:t>Nav</w:t>
            </w:r>
          </w:p>
        </w:tc>
      </w:tr>
    </w:tbl>
    <w:p w14:paraId="202D07B2" w14:textId="5DB3F488" w:rsidR="0029401F" w:rsidRPr="00DE329E" w:rsidRDefault="0029401F" w:rsidP="00115E82">
      <w:pPr>
        <w:rPr>
          <w:rFonts w:eastAsia="Times New Roman" w:cs="Times New Roman"/>
          <w:sz w:val="16"/>
          <w:szCs w:val="16"/>
          <w:lang w:eastAsia="lv-LV"/>
        </w:rPr>
      </w:pPr>
    </w:p>
    <w:tbl>
      <w:tblPr>
        <w:tblpPr w:leftFromText="180" w:rightFromText="180" w:vertAnchor="text" w:horzAnchor="margin" w:tblpXSpec="center" w:tblpY="96"/>
        <w:tblW w:w="53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07"/>
        <w:gridCol w:w="6495"/>
      </w:tblGrid>
      <w:tr w:rsidR="00DE329E" w:rsidRPr="00DE329E" w14:paraId="4796A57E" w14:textId="77777777" w:rsidTr="00D708EB">
        <w:trPr>
          <w:trHeight w:val="251"/>
        </w:trPr>
        <w:tc>
          <w:tcPr>
            <w:tcW w:w="5000" w:type="pct"/>
            <w:gridSpan w:val="3"/>
            <w:vAlign w:val="center"/>
          </w:tcPr>
          <w:p w14:paraId="5D5601F9" w14:textId="77777777" w:rsidR="0029401F" w:rsidRPr="00DE329E" w:rsidRDefault="0029401F" w:rsidP="00B553C2">
            <w:pPr>
              <w:pStyle w:val="naisnod"/>
              <w:spacing w:before="0" w:beforeAutospacing="0" w:after="0" w:afterAutospacing="0"/>
              <w:jc w:val="center"/>
              <w:rPr>
                <w:b/>
              </w:rPr>
            </w:pPr>
            <w:r w:rsidRPr="00DE329E">
              <w:br w:type="page"/>
            </w:r>
            <w:r w:rsidRPr="00DE329E">
              <w:rPr>
                <w:b/>
              </w:rPr>
              <w:t>IV. Tiesību akta projekta ietekme uz spēkā esošo tiesību normu sistēmu</w:t>
            </w:r>
          </w:p>
        </w:tc>
      </w:tr>
      <w:tr w:rsidR="00DE329E" w:rsidRPr="00DE329E" w14:paraId="139A7CEB" w14:textId="77777777" w:rsidTr="00D708EB">
        <w:tc>
          <w:tcPr>
            <w:tcW w:w="126" w:type="pct"/>
          </w:tcPr>
          <w:p w14:paraId="7957AC29" w14:textId="77777777" w:rsidR="0029401F" w:rsidRPr="00DE329E" w:rsidRDefault="0029401F" w:rsidP="00B553C2">
            <w:pPr>
              <w:pStyle w:val="naiskr"/>
              <w:tabs>
                <w:tab w:val="left" w:pos="2628"/>
              </w:tabs>
              <w:spacing w:before="0" w:beforeAutospacing="0" w:after="0" w:afterAutospacing="0"/>
              <w:jc w:val="both"/>
              <w:rPr>
                <w:iCs/>
              </w:rPr>
            </w:pPr>
            <w:r w:rsidRPr="00DE329E">
              <w:rPr>
                <w:iCs/>
              </w:rPr>
              <w:t>1.</w:t>
            </w:r>
          </w:p>
        </w:tc>
        <w:tc>
          <w:tcPr>
            <w:tcW w:w="1556" w:type="pct"/>
          </w:tcPr>
          <w:p w14:paraId="3374957C" w14:textId="77777777" w:rsidR="0029401F" w:rsidRPr="00DE329E" w:rsidRDefault="0029401F" w:rsidP="00B553C2">
            <w:pPr>
              <w:pStyle w:val="naiskr"/>
              <w:tabs>
                <w:tab w:val="left" w:pos="2628"/>
              </w:tabs>
              <w:spacing w:before="0" w:beforeAutospacing="0" w:after="0" w:afterAutospacing="0"/>
              <w:rPr>
                <w:iCs/>
              </w:rPr>
            </w:pPr>
            <w:r w:rsidRPr="00DE329E">
              <w:t>Nepieciešamie saistītie tiesību aktu projekti</w:t>
            </w:r>
          </w:p>
        </w:tc>
        <w:tc>
          <w:tcPr>
            <w:tcW w:w="3311" w:type="pct"/>
          </w:tcPr>
          <w:p w14:paraId="1A9781CD" w14:textId="26610784" w:rsidR="0029401F" w:rsidRPr="00DE329E" w:rsidRDefault="0029401F" w:rsidP="00B553C2">
            <w:pPr>
              <w:shd w:val="clear" w:color="auto" w:fill="FFFFFF"/>
              <w:jc w:val="both"/>
              <w:rPr>
                <w:sz w:val="24"/>
                <w:szCs w:val="24"/>
                <w:lang w:eastAsia="lv-LV"/>
              </w:rPr>
            </w:pPr>
            <w:r w:rsidRPr="00DE329E">
              <w:rPr>
                <w:sz w:val="24"/>
                <w:szCs w:val="24"/>
                <w:lang w:eastAsia="lv-LV"/>
              </w:rPr>
              <w:t>Valsts kanceleja noteikumu projekt</w:t>
            </w:r>
            <w:r w:rsidR="00496E1C">
              <w:rPr>
                <w:sz w:val="24"/>
                <w:szCs w:val="24"/>
                <w:lang w:eastAsia="lv-LV"/>
              </w:rPr>
              <w:t>u</w:t>
            </w:r>
            <w:r w:rsidRPr="00DE329E">
              <w:rPr>
                <w:sz w:val="24"/>
                <w:szCs w:val="24"/>
                <w:lang w:eastAsia="lv-LV"/>
              </w:rPr>
              <w:t xml:space="preserve"> </w:t>
            </w:r>
            <w:r w:rsidR="00711F5C">
              <w:rPr>
                <w:sz w:val="24"/>
                <w:szCs w:val="24"/>
                <w:lang w:eastAsia="lv-LV"/>
              </w:rPr>
              <w:t>"</w:t>
            </w:r>
            <w:r w:rsidRPr="00DE329E">
              <w:rPr>
                <w:sz w:val="24"/>
                <w:szCs w:val="24"/>
                <w:lang w:eastAsia="lv-LV"/>
              </w:rPr>
              <w:t>Grozījumi Ministru kabineta 2015.gada 14.jūlija noteikumos Nr.</w:t>
            </w:r>
            <w:r w:rsidR="00711F5C">
              <w:rPr>
                <w:sz w:val="24"/>
                <w:szCs w:val="24"/>
                <w:lang w:eastAsia="lv-LV"/>
              </w:rPr>
              <w:t> </w:t>
            </w:r>
            <w:r w:rsidRPr="00DE329E">
              <w:rPr>
                <w:sz w:val="24"/>
                <w:szCs w:val="24"/>
                <w:lang w:eastAsia="lv-LV"/>
              </w:rPr>
              <w:t xml:space="preserve">389 </w:t>
            </w:r>
            <w:r w:rsidR="00711F5C">
              <w:rPr>
                <w:sz w:val="24"/>
                <w:szCs w:val="24"/>
                <w:lang w:eastAsia="lv-LV"/>
              </w:rPr>
              <w:t>"</w:t>
            </w:r>
            <w:r w:rsidRPr="00DE329E">
              <w:rPr>
                <w:sz w:val="24"/>
                <w:szCs w:val="24"/>
                <w:lang w:eastAsia="lv-LV"/>
              </w:rPr>
              <w:t xml:space="preserve">Darbības programmas </w:t>
            </w:r>
            <w:r w:rsidR="00711F5C">
              <w:rPr>
                <w:sz w:val="24"/>
                <w:szCs w:val="24"/>
                <w:lang w:eastAsia="lv-LV"/>
              </w:rPr>
              <w:t>"</w:t>
            </w:r>
            <w:r w:rsidRPr="00DE329E">
              <w:rPr>
                <w:sz w:val="24"/>
                <w:szCs w:val="24"/>
                <w:lang w:eastAsia="lv-LV"/>
              </w:rPr>
              <w:t>Izaugsme un nodarbinātība</w:t>
            </w:r>
            <w:r w:rsidR="00711F5C">
              <w:rPr>
                <w:sz w:val="24"/>
                <w:szCs w:val="24"/>
                <w:lang w:eastAsia="lv-LV"/>
              </w:rPr>
              <w:t>"</w:t>
            </w:r>
            <w:r w:rsidRPr="00DE329E">
              <w:rPr>
                <w:sz w:val="24"/>
                <w:szCs w:val="24"/>
                <w:lang w:eastAsia="lv-LV"/>
              </w:rPr>
              <w:t xml:space="preserve"> 3.4.2.specifiskā atbalsta mērķa </w:t>
            </w:r>
            <w:r w:rsidR="00711F5C">
              <w:rPr>
                <w:sz w:val="24"/>
                <w:szCs w:val="24"/>
                <w:lang w:eastAsia="lv-LV"/>
              </w:rPr>
              <w:t>"</w:t>
            </w:r>
            <w:r w:rsidRPr="00DE329E">
              <w:rPr>
                <w:sz w:val="24"/>
                <w:szCs w:val="24"/>
                <w:lang w:eastAsia="lv-LV"/>
              </w:rPr>
              <w:t>Valsts pārvaldes profesionālā pilnveide un sociālā dialoga attīstība labāka tiesiskā regulējuma izstrādē mazo un vidējo komersantu atbalsta, korupcijas novēršanas un ēnu ekonomikas mazināšanas jomās</w:t>
            </w:r>
            <w:r w:rsidR="00711F5C">
              <w:rPr>
                <w:sz w:val="24"/>
                <w:szCs w:val="24"/>
                <w:lang w:eastAsia="lv-LV"/>
              </w:rPr>
              <w:t>"</w:t>
            </w:r>
            <w:r w:rsidR="00711F5C">
              <w:t xml:space="preserve"> </w:t>
            </w:r>
            <w:r w:rsidRPr="00DE329E">
              <w:rPr>
                <w:sz w:val="24"/>
                <w:szCs w:val="24"/>
                <w:lang w:eastAsia="lv-LV"/>
              </w:rPr>
              <w:t xml:space="preserve">3.4.2.1. pasākuma </w:t>
            </w:r>
            <w:r w:rsidR="00711F5C">
              <w:rPr>
                <w:sz w:val="24"/>
                <w:szCs w:val="24"/>
                <w:lang w:eastAsia="lv-LV"/>
              </w:rPr>
              <w:t>"</w:t>
            </w:r>
            <w:r w:rsidRPr="00DE329E">
              <w:rPr>
                <w:sz w:val="24"/>
                <w:szCs w:val="24"/>
                <w:lang w:eastAsia="lv-LV"/>
              </w:rPr>
              <w:t>Valsts pārvaldes profesionālā pilnveide labāka tiesiska regulējuma izstrādē mazo un vidējo komersantu atbalsta, korupcijas novēršanas un ēnu ekonomikas mazināšanas jomās</w:t>
            </w:r>
            <w:r w:rsidR="00711F5C">
              <w:rPr>
                <w:sz w:val="24"/>
                <w:szCs w:val="24"/>
                <w:lang w:eastAsia="lv-LV"/>
              </w:rPr>
              <w:t>"</w:t>
            </w:r>
            <w:r w:rsidRPr="00DE329E">
              <w:rPr>
                <w:sz w:val="24"/>
                <w:szCs w:val="24"/>
                <w:lang w:eastAsia="lv-LV"/>
              </w:rPr>
              <w:t xml:space="preserve"> iesnieg</w:t>
            </w:r>
            <w:r w:rsidR="00496E1C">
              <w:rPr>
                <w:sz w:val="24"/>
                <w:szCs w:val="24"/>
                <w:lang w:eastAsia="lv-LV"/>
              </w:rPr>
              <w:t>s</w:t>
            </w:r>
            <w:r w:rsidRPr="00DE329E">
              <w:rPr>
                <w:sz w:val="24"/>
                <w:szCs w:val="24"/>
                <w:lang w:eastAsia="lv-LV"/>
              </w:rPr>
              <w:t xml:space="preserve"> izskatīšanai Ministru kabineta sēdē vienlai</w:t>
            </w:r>
            <w:r w:rsidR="00496E1C">
              <w:rPr>
                <w:sz w:val="24"/>
                <w:szCs w:val="24"/>
                <w:lang w:eastAsia="lv-LV"/>
              </w:rPr>
              <w:t>kus</w:t>
            </w:r>
            <w:r w:rsidRPr="00DE329E">
              <w:rPr>
                <w:sz w:val="24"/>
                <w:szCs w:val="24"/>
                <w:lang w:eastAsia="lv-LV"/>
              </w:rPr>
              <w:t xml:space="preserve"> ar noteikumu projektu </w:t>
            </w:r>
            <w:r w:rsidR="00496E1C">
              <w:rPr>
                <w:sz w:val="24"/>
                <w:szCs w:val="24"/>
                <w:lang w:eastAsia="lv-LV"/>
              </w:rPr>
              <w:t>"</w:t>
            </w:r>
            <w:r w:rsidRPr="00DE329E">
              <w:rPr>
                <w:sz w:val="24"/>
                <w:szCs w:val="24"/>
                <w:lang w:eastAsia="lv-LV"/>
              </w:rPr>
              <w:t xml:space="preserve">Darbības programmas </w:t>
            </w:r>
            <w:r w:rsidR="00711F5C">
              <w:rPr>
                <w:sz w:val="24"/>
                <w:szCs w:val="24"/>
                <w:lang w:eastAsia="lv-LV"/>
              </w:rPr>
              <w:t>"</w:t>
            </w:r>
            <w:r w:rsidRPr="00DE329E">
              <w:rPr>
                <w:sz w:val="24"/>
                <w:szCs w:val="24"/>
                <w:lang w:eastAsia="lv-LV"/>
              </w:rPr>
              <w:t>Izaugsme un nodarbinātība</w:t>
            </w:r>
            <w:r w:rsidR="00711F5C">
              <w:rPr>
                <w:sz w:val="24"/>
                <w:szCs w:val="24"/>
                <w:lang w:eastAsia="lv-LV"/>
              </w:rPr>
              <w:t>"</w:t>
            </w:r>
            <w:r w:rsidRPr="00DE329E">
              <w:rPr>
                <w:sz w:val="24"/>
                <w:szCs w:val="24"/>
                <w:lang w:eastAsia="lv-LV"/>
              </w:rPr>
              <w:t xml:space="preserve"> 3.4.2. specifiskā atbalsta mērķa </w:t>
            </w:r>
            <w:r w:rsidR="00711F5C">
              <w:rPr>
                <w:sz w:val="24"/>
                <w:szCs w:val="24"/>
                <w:lang w:eastAsia="lv-LV"/>
              </w:rPr>
              <w:t>"</w:t>
            </w:r>
            <w:r w:rsidRPr="00DE329E">
              <w:rPr>
                <w:sz w:val="24"/>
                <w:szCs w:val="24"/>
                <w:lang w:eastAsia="lv-LV"/>
              </w:rPr>
              <w:t>Valsts pārvaldes profesionālā pilnveide, publisko pakalpojumu un sociālā dialoga attīstība mazo un vidējo komersantu atbalsta, korupcijas novēršanas un ēnu ekonomikas mazināšanas sekmēšanai</w:t>
            </w:r>
            <w:r w:rsidR="00711F5C">
              <w:rPr>
                <w:sz w:val="24"/>
                <w:szCs w:val="24"/>
                <w:lang w:eastAsia="lv-LV"/>
              </w:rPr>
              <w:t>"</w:t>
            </w:r>
            <w:r w:rsidRPr="00DE329E">
              <w:rPr>
                <w:sz w:val="24"/>
                <w:szCs w:val="24"/>
                <w:lang w:eastAsia="lv-LV"/>
              </w:rPr>
              <w:t xml:space="preserve"> 3.4.2.3. pasākuma </w:t>
            </w:r>
            <w:r w:rsidR="00711F5C">
              <w:rPr>
                <w:sz w:val="24"/>
                <w:szCs w:val="24"/>
                <w:lang w:eastAsia="lv-LV"/>
              </w:rPr>
              <w:t>"</w:t>
            </w:r>
            <w:r w:rsidRPr="00DE329E">
              <w:rPr>
                <w:sz w:val="24"/>
                <w:szCs w:val="24"/>
                <w:lang w:eastAsia="lv-LV"/>
              </w:rPr>
              <w:t>Publisko pakalpojumu pārveides metodoloģijas izstrāde un aprobācija</w:t>
            </w:r>
            <w:r w:rsidR="00711F5C">
              <w:rPr>
                <w:sz w:val="24"/>
                <w:szCs w:val="24"/>
                <w:lang w:eastAsia="lv-LV"/>
              </w:rPr>
              <w:t>"</w:t>
            </w:r>
            <w:r w:rsidRPr="00DE329E">
              <w:rPr>
                <w:sz w:val="24"/>
                <w:szCs w:val="24"/>
                <w:lang w:eastAsia="lv-LV"/>
              </w:rPr>
              <w:t xml:space="preserve"> īstenošanas noteikumi</w:t>
            </w:r>
            <w:r w:rsidR="00496E1C">
              <w:rPr>
                <w:sz w:val="24"/>
                <w:szCs w:val="24"/>
                <w:lang w:eastAsia="lv-LV"/>
              </w:rPr>
              <w:t>"</w:t>
            </w:r>
            <w:r w:rsidRPr="00DE329E">
              <w:rPr>
                <w:sz w:val="24"/>
                <w:szCs w:val="24"/>
                <w:lang w:eastAsia="lv-LV"/>
              </w:rPr>
              <w:t>, ņemot vērā saistīto finansējuma pārdali no 3.4.2.1.</w:t>
            </w:r>
            <w:r w:rsidR="00496E1C">
              <w:rPr>
                <w:sz w:val="24"/>
                <w:szCs w:val="24"/>
                <w:lang w:eastAsia="lv-LV"/>
              </w:rPr>
              <w:t> </w:t>
            </w:r>
            <w:r w:rsidRPr="00DE329E">
              <w:rPr>
                <w:sz w:val="24"/>
                <w:szCs w:val="24"/>
                <w:lang w:eastAsia="lv-LV"/>
              </w:rPr>
              <w:t>pasākuma</w:t>
            </w:r>
          </w:p>
          <w:p w14:paraId="69B659A8" w14:textId="77777777" w:rsidR="0029401F" w:rsidRPr="00DE329E" w:rsidRDefault="0029401F" w:rsidP="00496E1C">
            <w:pPr>
              <w:shd w:val="clear" w:color="auto" w:fill="FFFFFF"/>
              <w:jc w:val="both"/>
              <w:rPr>
                <w:sz w:val="24"/>
                <w:szCs w:val="24"/>
                <w:highlight w:val="yellow"/>
                <w:lang w:eastAsia="lv-LV"/>
              </w:rPr>
            </w:pPr>
          </w:p>
        </w:tc>
      </w:tr>
      <w:tr w:rsidR="00DE329E" w:rsidRPr="00DE329E" w14:paraId="7AC30A7B" w14:textId="77777777" w:rsidTr="00D708EB">
        <w:tc>
          <w:tcPr>
            <w:tcW w:w="126" w:type="pct"/>
          </w:tcPr>
          <w:p w14:paraId="28B6F2A7" w14:textId="77777777" w:rsidR="0029401F" w:rsidRPr="00DE329E" w:rsidRDefault="0029401F" w:rsidP="00B553C2">
            <w:pPr>
              <w:pStyle w:val="naiskr"/>
              <w:tabs>
                <w:tab w:val="left" w:pos="2628"/>
              </w:tabs>
              <w:spacing w:before="0" w:beforeAutospacing="0" w:after="0" w:afterAutospacing="0"/>
              <w:jc w:val="both"/>
              <w:rPr>
                <w:iCs/>
              </w:rPr>
            </w:pPr>
            <w:r w:rsidRPr="00DE329E">
              <w:rPr>
                <w:iCs/>
              </w:rPr>
              <w:t>2.</w:t>
            </w:r>
          </w:p>
        </w:tc>
        <w:tc>
          <w:tcPr>
            <w:tcW w:w="1556" w:type="pct"/>
          </w:tcPr>
          <w:p w14:paraId="0D87BBC0" w14:textId="77777777" w:rsidR="0029401F" w:rsidRPr="00DE329E" w:rsidRDefault="0029401F" w:rsidP="00B553C2">
            <w:pPr>
              <w:pStyle w:val="naiskr"/>
              <w:tabs>
                <w:tab w:val="left" w:pos="2628"/>
              </w:tabs>
              <w:spacing w:before="0" w:beforeAutospacing="0" w:after="0" w:afterAutospacing="0"/>
              <w:jc w:val="both"/>
            </w:pPr>
            <w:r w:rsidRPr="00DE329E">
              <w:t>Atbildīgā institūcija</w:t>
            </w:r>
          </w:p>
        </w:tc>
        <w:tc>
          <w:tcPr>
            <w:tcW w:w="3311" w:type="pct"/>
          </w:tcPr>
          <w:p w14:paraId="2B3A6861" w14:textId="77777777" w:rsidR="0029401F" w:rsidRPr="00DE329E" w:rsidRDefault="0029401F" w:rsidP="00B553C2">
            <w:pPr>
              <w:shd w:val="clear" w:color="auto" w:fill="FFFFFF"/>
              <w:jc w:val="both"/>
              <w:rPr>
                <w:sz w:val="24"/>
                <w:szCs w:val="24"/>
                <w:lang w:eastAsia="lv-LV"/>
              </w:rPr>
            </w:pPr>
            <w:r w:rsidRPr="00DE329E">
              <w:rPr>
                <w:sz w:val="24"/>
                <w:szCs w:val="24"/>
              </w:rPr>
              <w:t>Valsts kanceleja</w:t>
            </w:r>
          </w:p>
        </w:tc>
      </w:tr>
      <w:tr w:rsidR="00DE329E" w:rsidRPr="00DE329E" w14:paraId="5777FA67" w14:textId="77777777" w:rsidTr="00D708EB">
        <w:tc>
          <w:tcPr>
            <w:tcW w:w="126" w:type="pct"/>
          </w:tcPr>
          <w:p w14:paraId="27760832" w14:textId="77777777" w:rsidR="0029401F" w:rsidRPr="00DE329E" w:rsidRDefault="0029401F" w:rsidP="00B553C2">
            <w:pPr>
              <w:pStyle w:val="naiskr"/>
              <w:tabs>
                <w:tab w:val="left" w:pos="2628"/>
              </w:tabs>
              <w:spacing w:before="0" w:beforeAutospacing="0" w:after="0" w:afterAutospacing="0"/>
              <w:jc w:val="both"/>
              <w:rPr>
                <w:iCs/>
              </w:rPr>
            </w:pPr>
            <w:r w:rsidRPr="00DE329E">
              <w:rPr>
                <w:iCs/>
              </w:rPr>
              <w:t>3.</w:t>
            </w:r>
          </w:p>
        </w:tc>
        <w:tc>
          <w:tcPr>
            <w:tcW w:w="1556" w:type="pct"/>
          </w:tcPr>
          <w:p w14:paraId="76253536" w14:textId="77777777" w:rsidR="0029401F" w:rsidRPr="00DE329E" w:rsidRDefault="0029401F" w:rsidP="00B553C2">
            <w:pPr>
              <w:pStyle w:val="naiskr"/>
              <w:tabs>
                <w:tab w:val="left" w:pos="2628"/>
              </w:tabs>
              <w:spacing w:before="0" w:beforeAutospacing="0" w:after="0" w:afterAutospacing="0"/>
              <w:jc w:val="both"/>
              <w:rPr>
                <w:iCs/>
              </w:rPr>
            </w:pPr>
            <w:r w:rsidRPr="00DE329E">
              <w:t>Cita informācija</w:t>
            </w:r>
          </w:p>
        </w:tc>
        <w:tc>
          <w:tcPr>
            <w:tcW w:w="3311" w:type="pct"/>
          </w:tcPr>
          <w:p w14:paraId="0C774AA9" w14:textId="77777777" w:rsidR="0029401F" w:rsidRPr="00DE329E" w:rsidRDefault="0029401F" w:rsidP="00B553C2">
            <w:pPr>
              <w:pStyle w:val="naiskr"/>
              <w:tabs>
                <w:tab w:val="left" w:pos="2628"/>
              </w:tabs>
              <w:spacing w:before="0" w:beforeAutospacing="0" w:after="0" w:afterAutospacing="0"/>
              <w:jc w:val="both"/>
              <w:rPr>
                <w:iCs/>
              </w:rPr>
            </w:pPr>
            <w:r w:rsidRPr="00DE329E">
              <w:rPr>
                <w:iCs/>
              </w:rPr>
              <w:t>Nav</w:t>
            </w:r>
          </w:p>
        </w:tc>
      </w:tr>
    </w:tbl>
    <w:p w14:paraId="645778E7" w14:textId="1535F86C" w:rsidR="00150994" w:rsidRDefault="00150994">
      <w:pPr>
        <w:rPr>
          <w:rFonts w:eastAsia="Times New Roman" w:cs="Times New Roman"/>
          <w:sz w:val="16"/>
          <w:szCs w:val="16"/>
          <w:lang w:eastAsia="lv-LV"/>
        </w:rPr>
      </w:pPr>
    </w:p>
    <w:p w14:paraId="528803ED" w14:textId="38E701E9" w:rsidR="00D708EB" w:rsidRDefault="00D708EB">
      <w:pPr>
        <w:rPr>
          <w:rFonts w:eastAsia="Times New Roman" w:cs="Times New Roman"/>
          <w:sz w:val="16"/>
          <w:szCs w:val="16"/>
          <w:lang w:eastAsia="lv-LV"/>
        </w:rPr>
      </w:pPr>
    </w:p>
    <w:p w14:paraId="114124EF" w14:textId="77777777" w:rsidR="00D708EB" w:rsidRDefault="00D708EB">
      <w:pPr>
        <w:rPr>
          <w:rFonts w:eastAsia="Times New Roman" w:cs="Times New Roman"/>
          <w:sz w:val="16"/>
          <w:szCs w:val="16"/>
          <w:lang w:eastAsia="lv-LV"/>
        </w:rPr>
      </w:pPr>
    </w:p>
    <w:tbl>
      <w:tblPr>
        <w:tblW w:w="538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150994" w:rsidRPr="00DE329E" w14:paraId="49B5B9B3" w14:textId="77777777" w:rsidTr="000B7DE0">
        <w:trPr>
          <w:trHeight w:val="491"/>
        </w:trPr>
        <w:tc>
          <w:tcPr>
            <w:tcW w:w="5000" w:type="pct"/>
            <w:shd w:val="clear" w:color="auto" w:fill="auto"/>
          </w:tcPr>
          <w:p w14:paraId="6A79476B" w14:textId="77777777" w:rsidR="00150994" w:rsidRPr="00DE329E" w:rsidRDefault="00150994" w:rsidP="000B7DE0">
            <w:pPr>
              <w:jc w:val="center"/>
              <w:rPr>
                <w:b/>
                <w:sz w:val="24"/>
                <w:szCs w:val="24"/>
              </w:rPr>
            </w:pPr>
            <w:r>
              <w:rPr>
                <w:b/>
                <w:sz w:val="24"/>
                <w:szCs w:val="24"/>
              </w:rPr>
              <w:t>V</w:t>
            </w:r>
            <w:r w:rsidRPr="00DE329E">
              <w:rPr>
                <w:b/>
                <w:sz w:val="24"/>
                <w:szCs w:val="24"/>
              </w:rPr>
              <w:t xml:space="preserve">. </w:t>
            </w:r>
            <w:r w:rsidRPr="00150994">
              <w:rPr>
                <w:b/>
                <w:sz w:val="24"/>
                <w:szCs w:val="24"/>
              </w:rPr>
              <w:t>Tiesību akta projekta atbilstība Latvijas Republikas starptautiskajām saistībām</w:t>
            </w:r>
          </w:p>
        </w:tc>
      </w:tr>
      <w:tr w:rsidR="00150994" w:rsidRPr="00DE329E" w14:paraId="6B857D47" w14:textId="77777777" w:rsidTr="000B7DE0">
        <w:trPr>
          <w:trHeight w:val="425"/>
        </w:trPr>
        <w:tc>
          <w:tcPr>
            <w:tcW w:w="5000" w:type="pct"/>
            <w:shd w:val="clear" w:color="auto" w:fill="auto"/>
          </w:tcPr>
          <w:p w14:paraId="5BA1DC18" w14:textId="77777777" w:rsidR="00150994" w:rsidRPr="00DE329E" w:rsidRDefault="00150994" w:rsidP="000B7DE0">
            <w:pPr>
              <w:contextualSpacing/>
              <w:jc w:val="center"/>
              <w:rPr>
                <w:sz w:val="24"/>
                <w:szCs w:val="24"/>
              </w:rPr>
            </w:pPr>
            <w:r w:rsidRPr="00150994">
              <w:rPr>
                <w:sz w:val="24"/>
                <w:szCs w:val="24"/>
              </w:rPr>
              <w:t>Projekts šo jomu neskar</w:t>
            </w:r>
          </w:p>
        </w:tc>
      </w:tr>
    </w:tbl>
    <w:p w14:paraId="5EF7133A" w14:textId="77777777" w:rsidR="0029401F" w:rsidRPr="00DE329E" w:rsidRDefault="0029401F" w:rsidP="00115E82">
      <w:pPr>
        <w:rPr>
          <w:rFonts w:eastAsia="Times New Roman" w:cs="Times New Roman"/>
          <w:sz w:val="16"/>
          <w:szCs w:val="16"/>
          <w:lang w:eastAsia="lv-LV"/>
        </w:rPr>
      </w:pPr>
    </w:p>
    <w:tbl>
      <w:tblPr>
        <w:tblW w:w="538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
        <w:gridCol w:w="3145"/>
        <w:gridCol w:w="6423"/>
      </w:tblGrid>
      <w:tr w:rsidR="00DE329E" w:rsidRPr="00DE329E" w14:paraId="38850D63" w14:textId="77777777" w:rsidTr="0029401F">
        <w:trPr>
          <w:trHeight w:val="491"/>
        </w:trPr>
        <w:tc>
          <w:tcPr>
            <w:tcW w:w="5000" w:type="pct"/>
            <w:gridSpan w:val="3"/>
            <w:shd w:val="clear" w:color="auto" w:fill="auto"/>
          </w:tcPr>
          <w:p w14:paraId="38850D62" w14:textId="77777777" w:rsidR="00DB5926" w:rsidRPr="00DE329E" w:rsidRDefault="00DB5926" w:rsidP="00DA0D41">
            <w:pPr>
              <w:jc w:val="center"/>
              <w:rPr>
                <w:b/>
                <w:sz w:val="24"/>
                <w:szCs w:val="24"/>
              </w:rPr>
            </w:pPr>
            <w:r w:rsidRPr="00DE329E">
              <w:rPr>
                <w:b/>
                <w:sz w:val="24"/>
                <w:szCs w:val="24"/>
              </w:rPr>
              <w:t>VI. Sabiedrības līdzdalība un komunikācijas aktivitātes</w:t>
            </w:r>
          </w:p>
        </w:tc>
      </w:tr>
      <w:tr w:rsidR="00DE329E" w:rsidRPr="00DE329E" w14:paraId="38850D67" w14:textId="77777777" w:rsidTr="0029401F">
        <w:trPr>
          <w:trHeight w:val="425"/>
        </w:trPr>
        <w:tc>
          <w:tcPr>
            <w:tcW w:w="215" w:type="pct"/>
            <w:shd w:val="clear" w:color="auto" w:fill="auto"/>
          </w:tcPr>
          <w:p w14:paraId="38850D64" w14:textId="77777777" w:rsidR="00DB5926" w:rsidRPr="00DE329E" w:rsidRDefault="00DB5926" w:rsidP="00DA0D41">
            <w:pPr>
              <w:jc w:val="both"/>
              <w:rPr>
                <w:sz w:val="24"/>
                <w:szCs w:val="24"/>
              </w:rPr>
            </w:pPr>
            <w:r w:rsidRPr="00DE329E">
              <w:rPr>
                <w:sz w:val="24"/>
                <w:szCs w:val="24"/>
              </w:rPr>
              <w:t>1.</w:t>
            </w:r>
          </w:p>
        </w:tc>
        <w:tc>
          <w:tcPr>
            <w:tcW w:w="1573" w:type="pct"/>
            <w:shd w:val="clear" w:color="auto" w:fill="auto"/>
          </w:tcPr>
          <w:p w14:paraId="38850D65" w14:textId="77777777" w:rsidR="00DB5926" w:rsidRPr="00DE329E" w:rsidRDefault="00DB5926" w:rsidP="00DC6C75">
            <w:pPr>
              <w:rPr>
                <w:sz w:val="24"/>
                <w:szCs w:val="24"/>
              </w:rPr>
            </w:pPr>
            <w:r w:rsidRPr="00DE329E">
              <w:rPr>
                <w:sz w:val="24"/>
                <w:szCs w:val="24"/>
              </w:rPr>
              <w:t>Plānotās sabiedrības līdzdalības un komunikācijas aktivitātes saistībā ar projektu</w:t>
            </w:r>
          </w:p>
        </w:tc>
        <w:tc>
          <w:tcPr>
            <w:tcW w:w="3212" w:type="pct"/>
            <w:shd w:val="clear" w:color="auto" w:fill="auto"/>
          </w:tcPr>
          <w:p w14:paraId="38850D66" w14:textId="736A1FAD" w:rsidR="00C61D1E" w:rsidRPr="00DE329E" w:rsidRDefault="00C61D1E" w:rsidP="00496E1C">
            <w:pPr>
              <w:autoSpaceDE w:val="0"/>
              <w:autoSpaceDN w:val="0"/>
              <w:adjustRightInd w:val="0"/>
              <w:rPr>
                <w:sz w:val="24"/>
                <w:szCs w:val="24"/>
              </w:rPr>
            </w:pPr>
            <w:r w:rsidRPr="00DE329E">
              <w:rPr>
                <w:sz w:val="24"/>
                <w:szCs w:val="24"/>
              </w:rPr>
              <w:t>Sabiedrības pārstāvji varēs līdzdarboties noteikumu projekta izstrādē, sniedzot viedokli par Valsts sekretāru sanāksmē</w:t>
            </w:r>
            <w:r w:rsidR="00DC6C75" w:rsidRPr="00DE329E">
              <w:rPr>
                <w:sz w:val="24"/>
                <w:szCs w:val="24"/>
              </w:rPr>
              <w:t xml:space="preserve"> izsludināto noteikumu projektu</w:t>
            </w:r>
          </w:p>
        </w:tc>
      </w:tr>
      <w:tr w:rsidR="00DE329E" w:rsidRPr="00DE329E" w14:paraId="38850D6B" w14:textId="77777777" w:rsidTr="0029401F">
        <w:trPr>
          <w:trHeight w:val="425"/>
        </w:trPr>
        <w:tc>
          <w:tcPr>
            <w:tcW w:w="215" w:type="pct"/>
            <w:shd w:val="clear" w:color="auto" w:fill="auto"/>
          </w:tcPr>
          <w:p w14:paraId="38850D68" w14:textId="77777777" w:rsidR="00DB5926" w:rsidRPr="00DE329E" w:rsidRDefault="00DB5926" w:rsidP="00DA0D41">
            <w:pPr>
              <w:jc w:val="both"/>
              <w:rPr>
                <w:sz w:val="24"/>
                <w:szCs w:val="24"/>
              </w:rPr>
            </w:pPr>
            <w:r w:rsidRPr="00DE329E">
              <w:rPr>
                <w:sz w:val="24"/>
                <w:szCs w:val="24"/>
              </w:rPr>
              <w:t>2.</w:t>
            </w:r>
          </w:p>
        </w:tc>
        <w:tc>
          <w:tcPr>
            <w:tcW w:w="1573" w:type="pct"/>
            <w:shd w:val="clear" w:color="auto" w:fill="auto"/>
          </w:tcPr>
          <w:p w14:paraId="38850D69" w14:textId="77777777" w:rsidR="00DB5926" w:rsidRPr="00DE329E" w:rsidRDefault="00DB5926" w:rsidP="00DC6C75">
            <w:pPr>
              <w:rPr>
                <w:sz w:val="24"/>
                <w:szCs w:val="24"/>
              </w:rPr>
            </w:pPr>
            <w:r w:rsidRPr="00DE329E">
              <w:rPr>
                <w:sz w:val="24"/>
                <w:szCs w:val="24"/>
              </w:rPr>
              <w:t>Sabiedrības līdzdalība projekta izstrādē</w:t>
            </w:r>
          </w:p>
        </w:tc>
        <w:tc>
          <w:tcPr>
            <w:tcW w:w="3212" w:type="pct"/>
            <w:shd w:val="clear" w:color="auto" w:fill="auto"/>
          </w:tcPr>
          <w:p w14:paraId="38850D6A" w14:textId="77777777" w:rsidR="00DB5926" w:rsidRPr="00DE329E" w:rsidRDefault="00BE4650" w:rsidP="00DC6C75">
            <w:pPr>
              <w:contextualSpacing/>
              <w:rPr>
                <w:sz w:val="24"/>
                <w:szCs w:val="24"/>
                <w:highlight w:val="yellow"/>
              </w:rPr>
            </w:pPr>
            <w:r w:rsidRPr="00DE329E">
              <w:rPr>
                <w:sz w:val="24"/>
                <w:szCs w:val="24"/>
              </w:rPr>
              <w:t>Sabiedrības grupām projekta tiesiskais regulējums pēc būtības ne</w:t>
            </w:r>
            <w:r w:rsidR="00DC6C75" w:rsidRPr="00DE329E">
              <w:rPr>
                <w:sz w:val="24"/>
                <w:szCs w:val="24"/>
              </w:rPr>
              <w:t>maina to tiesības un pienākumus</w:t>
            </w:r>
          </w:p>
        </w:tc>
      </w:tr>
      <w:tr w:rsidR="00DE329E" w:rsidRPr="00DE329E" w14:paraId="38850D6F" w14:textId="77777777" w:rsidTr="0029401F">
        <w:trPr>
          <w:trHeight w:val="425"/>
        </w:trPr>
        <w:tc>
          <w:tcPr>
            <w:tcW w:w="215" w:type="pct"/>
            <w:shd w:val="clear" w:color="auto" w:fill="auto"/>
          </w:tcPr>
          <w:p w14:paraId="38850D6C" w14:textId="77777777" w:rsidR="00DB5926" w:rsidRPr="00DE329E" w:rsidRDefault="00DB5926" w:rsidP="00DA0D41">
            <w:pPr>
              <w:jc w:val="both"/>
              <w:rPr>
                <w:sz w:val="24"/>
                <w:szCs w:val="24"/>
              </w:rPr>
            </w:pPr>
            <w:r w:rsidRPr="00DE329E">
              <w:rPr>
                <w:sz w:val="24"/>
                <w:szCs w:val="24"/>
              </w:rPr>
              <w:t>3.</w:t>
            </w:r>
          </w:p>
        </w:tc>
        <w:tc>
          <w:tcPr>
            <w:tcW w:w="1573" w:type="pct"/>
            <w:shd w:val="clear" w:color="auto" w:fill="auto"/>
          </w:tcPr>
          <w:p w14:paraId="38850D6D" w14:textId="77777777" w:rsidR="00DB5926" w:rsidRPr="00DE329E" w:rsidRDefault="00DB5926" w:rsidP="00DC6C75">
            <w:pPr>
              <w:rPr>
                <w:sz w:val="24"/>
                <w:szCs w:val="24"/>
              </w:rPr>
            </w:pPr>
            <w:r w:rsidRPr="00DE329E">
              <w:rPr>
                <w:sz w:val="24"/>
                <w:szCs w:val="24"/>
              </w:rPr>
              <w:t>Sabiedrības līdzdalības rezultāti</w:t>
            </w:r>
          </w:p>
        </w:tc>
        <w:tc>
          <w:tcPr>
            <w:tcW w:w="3212" w:type="pct"/>
            <w:shd w:val="clear" w:color="auto" w:fill="auto"/>
          </w:tcPr>
          <w:p w14:paraId="38850D6E" w14:textId="77777777" w:rsidR="00DB5926" w:rsidRPr="00DE329E" w:rsidRDefault="00B85A0F" w:rsidP="00DC6C75">
            <w:pPr>
              <w:contextualSpacing/>
              <w:rPr>
                <w:sz w:val="24"/>
                <w:szCs w:val="24"/>
                <w:highlight w:val="yellow"/>
              </w:rPr>
            </w:pPr>
            <w:r w:rsidRPr="00DE329E">
              <w:rPr>
                <w:sz w:val="24"/>
                <w:szCs w:val="24"/>
              </w:rPr>
              <w:t>Noteikumu projekts šo jomu neskar</w:t>
            </w:r>
          </w:p>
        </w:tc>
      </w:tr>
      <w:tr w:rsidR="00DE329E" w:rsidRPr="00DE329E" w14:paraId="38850D73" w14:textId="77777777" w:rsidTr="0029401F">
        <w:trPr>
          <w:trHeight w:val="425"/>
        </w:trPr>
        <w:tc>
          <w:tcPr>
            <w:tcW w:w="215" w:type="pct"/>
            <w:shd w:val="clear" w:color="auto" w:fill="auto"/>
          </w:tcPr>
          <w:p w14:paraId="38850D70" w14:textId="77777777" w:rsidR="00DB5926" w:rsidRPr="00DE329E" w:rsidRDefault="00DB5926" w:rsidP="00DA0D41">
            <w:pPr>
              <w:jc w:val="both"/>
              <w:rPr>
                <w:sz w:val="24"/>
                <w:szCs w:val="24"/>
              </w:rPr>
            </w:pPr>
            <w:r w:rsidRPr="00DE329E">
              <w:rPr>
                <w:sz w:val="24"/>
                <w:szCs w:val="24"/>
              </w:rPr>
              <w:t>4.</w:t>
            </w:r>
          </w:p>
        </w:tc>
        <w:tc>
          <w:tcPr>
            <w:tcW w:w="1573" w:type="pct"/>
            <w:shd w:val="clear" w:color="auto" w:fill="auto"/>
          </w:tcPr>
          <w:p w14:paraId="38850D71" w14:textId="77777777" w:rsidR="00DB5926" w:rsidRPr="00DE329E" w:rsidRDefault="00DB5926" w:rsidP="00DC6C75">
            <w:pPr>
              <w:rPr>
                <w:sz w:val="24"/>
                <w:szCs w:val="24"/>
              </w:rPr>
            </w:pPr>
            <w:r w:rsidRPr="00DE329E">
              <w:rPr>
                <w:sz w:val="24"/>
                <w:szCs w:val="24"/>
                <w:shd w:val="clear" w:color="auto" w:fill="FFFFFF"/>
              </w:rPr>
              <w:t>Cita informācija</w:t>
            </w:r>
          </w:p>
        </w:tc>
        <w:tc>
          <w:tcPr>
            <w:tcW w:w="3212" w:type="pct"/>
            <w:shd w:val="clear" w:color="auto" w:fill="auto"/>
          </w:tcPr>
          <w:p w14:paraId="38850D72" w14:textId="77777777" w:rsidR="00DB5926" w:rsidRPr="00DE329E" w:rsidRDefault="00DB5926" w:rsidP="00DC6C75">
            <w:pPr>
              <w:contextualSpacing/>
              <w:rPr>
                <w:sz w:val="24"/>
                <w:szCs w:val="24"/>
                <w:highlight w:val="yellow"/>
              </w:rPr>
            </w:pPr>
            <w:r w:rsidRPr="00DE329E">
              <w:rPr>
                <w:sz w:val="24"/>
                <w:szCs w:val="24"/>
              </w:rPr>
              <w:t>Nav</w:t>
            </w:r>
          </w:p>
        </w:tc>
      </w:tr>
      <w:tr w:rsidR="00DE329E" w:rsidRPr="00DE329E" w14:paraId="18DC1299" w14:textId="77777777" w:rsidTr="0029401F">
        <w:trPr>
          <w:trHeight w:val="425"/>
        </w:trPr>
        <w:tc>
          <w:tcPr>
            <w:tcW w:w="215" w:type="pct"/>
            <w:shd w:val="clear" w:color="auto" w:fill="auto"/>
          </w:tcPr>
          <w:p w14:paraId="4E1563B5" w14:textId="77777777" w:rsidR="0029401F" w:rsidRPr="00DE329E" w:rsidRDefault="0029401F" w:rsidP="00DA0D41">
            <w:pPr>
              <w:jc w:val="both"/>
              <w:rPr>
                <w:sz w:val="24"/>
                <w:szCs w:val="24"/>
              </w:rPr>
            </w:pPr>
          </w:p>
        </w:tc>
        <w:tc>
          <w:tcPr>
            <w:tcW w:w="1573" w:type="pct"/>
            <w:shd w:val="clear" w:color="auto" w:fill="auto"/>
          </w:tcPr>
          <w:p w14:paraId="259EF730" w14:textId="77777777" w:rsidR="0029401F" w:rsidRPr="00DE329E" w:rsidRDefault="0029401F" w:rsidP="00DC6C75">
            <w:pPr>
              <w:rPr>
                <w:sz w:val="24"/>
                <w:szCs w:val="24"/>
                <w:shd w:val="clear" w:color="auto" w:fill="FFFFFF"/>
              </w:rPr>
            </w:pPr>
          </w:p>
        </w:tc>
        <w:tc>
          <w:tcPr>
            <w:tcW w:w="3212" w:type="pct"/>
            <w:shd w:val="clear" w:color="auto" w:fill="auto"/>
          </w:tcPr>
          <w:p w14:paraId="5E7DBD82" w14:textId="77777777" w:rsidR="0029401F" w:rsidRPr="00DE329E" w:rsidRDefault="0029401F" w:rsidP="00DC6C75">
            <w:pPr>
              <w:contextualSpacing/>
              <w:rPr>
                <w:sz w:val="24"/>
                <w:szCs w:val="24"/>
              </w:rPr>
            </w:pPr>
          </w:p>
        </w:tc>
      </w:tr>
    </w:tbl>
    <w:p w14:paraId="604C4AAB" w14:textId="77777777" w:rsidR="00150994" w:rsidRPr="00DE329E" w:rsidRDefault="00150994" w:rsidP="00115E82">
      <w:pPr>
        <w:rPr>
          <w:rFonts w:eastAsia="Times New Roman" w:cs="Times New Roman"/>
          <w:sz w:val="16"/>
          <w:szCs w:val="16"/>
          <w:lang w:eastAsia="lv-LV"/>
        </w:rPr>
      </w:pPr>
    </w:p>
    <w:tbl>
      <w:tblPr>
        <w:tblStyle w:val="TableGrid"/>
        <w:tblW w:w="9924" w:type="dxa"/>
        <w:tblInd w:w="-318" w:type="dxa"/>
        <w:tblLook w:val="04A0" w:firstRow="1" w:lastRow="0" w:firstColumn="1" w:lastColumn="0" w:noHBand="0" w:noVBand="1"/>
      </w:tblPr>
      <w:tblGrid>
        <w:gridCol w:w="426"/>
        <w:gridCol w:w="3119"/>
        <w:gridCol w:w="6379"/>
      </w:tblGrid>
      <w:tr w:rsidR="00DE329E" w:rsidRPr="00DE329E" w14:paraId="00D9F50C" w14:textId="77777777" w:rsidTr="000A2079">
        <w:tc>
          <w:tcPr>
            <w:tcW w:w="9924" w:type="dxa"/>
            <w:gridSpan w:val="3"/>
          </w:tcPr>
          <w:p w14:paraId="7BE0F9BE" w14:textId="1365C6B9" w:rsidR="00D31773" w:rsidRPr="00DE329E" w:rsidRDefault="00D31773" w:rsidP="00D31773">
            <w:pPr>
              <w:jc w:val="center"/>
              <w:rPr>
                <w:rFonts w:eastAsia="Times New Roman" w:cs="Times New Roman"/>
                <w:sz w:val="16"/>
                <w:szCs w:val="16"/>
                <w:lang w:eastAsia="lv-LV"/>
              </w:rPr>
            </w:pPr>
            <w:r w:rsidRPr="00DE329E">
              <w:rPr>
                <w:rFonts w:eastAsia="Times New Roman" w:cs="Times New Roman"/>
                <w:b/>
                <w:sz w:val="26"/>
                <w:szCs w:val="26"/>
                <w:lang w:eastAsia="lv-LV"/>
              </w:rPr>
              <w:t>VII. Tiesību akta projekta izpildes nodrošināšana un tās ietekme uz institūcijām</w:t>
            </w:r>
          </w:p>
        </w:tc>
      </w:tr>
      <w:tr w:rsidR="00DE329E" w:rsidRPr="00DE329E" w14:paraId="323D7CD8" w14:textId="77777777" w:rsidTr="00D31773">
        <w:tc>
          <w:tcPr>
            <w:tcW w:w="426" w:type="dxa"/>
          </w:tcPr>
          <w:p w14:paraId="449A8CF9" w14:textId="255B1EEC" w:rsidR="00D31773" w:rsidRPr="00DE329E" w:rsidRDefault="00D31773" w:rsidP="00115E82">
            <w:pPr>
              <w:rPr>
                <w:rFonts w:eastAsia="Times New Roman" w:cs="Times New Roman"/>
                <w:sz w:val="16"/>
                <w:szCs w:val="16"/>
                <w:lang w:eastAsia="lv-LV"/>
              </w:rPr>
            </w:pPr>
            <w:r w:rsidRPr="00DE329E">
              <w:rPr>
                <w:sz w:val="24"/>
                <w:szCs w:val="24"/>
              </w:rPr>
              <w:t>1.</w:t>
            </w:r>
          </w:p>
        </w:tc>
        <w:tc>
          <w:tcPr>
            <w:tcW w:w="3119" w:type="dxa"/>
          </w:tcPr>
          <w:p w14:paraId="781F0E76" w14:textId="1367BF5D" w:rsidR="00D31773" w:rsidRPr="00DE329E" w:rsidRDefault="00D31773" w:rsidP="00115E82">
            <w:pPr>
              <w:rPr>
                <w:rFonts w:eastAsia="Times New Roman" w:cs="Times New Roman"/>
                <w:sz w:val="16"/>
                <w:szCs w:val="16"/>
                <w:lang w:eastAsia="lv-LV"/>
              </w:rPr>
            </w:pPr>
            <w:r w:rsidRPr="00DE329E">
              <w:rPr>
                <w:rFonts w:eastAsia="Times New Roman" w:cs="Times New Roman"/>
                <w:sz w:val="24"/>
                <w:szCs w:val="24"/>
                <w:lang w:eastAsia="lv-LV"/>
              </w:rPr>
              <w:t>Projekta izpildē iesaistītās institūcijas</w:t>
            </w:r>
          </w:p>
        </w:tc>
        <w:tc>
          <w:tcPr>
            <w:tcW w:w="6379" w:type="dxa"/>
          </w:tcPr>
          <w:p w14:paraId="5A7AC0A6" w14:textId="31EB1484" w:rsidR="0029401F" w:rsidRPr="00DE329E" w:rsidRDefault="00D31773" w:rsidP="00496E1C">
            <w:pPr>
              <w:jc w:val="both"/>
              <w:rPr>
                <w:rFonts w:eastAsia="Times New Roman" w:cs="Times New Roman"/>
                <w:sz w:val="16"/>
                <w:szCs w:val="16"/>
                <w:lang w:eastAsia="lv-LV"/>
              </w:rPr>
            </w:pPr>
            <w:r w:rsidRPr="00DE329E">
              <w:rPr>
                <w:rFonts w:eastAsia="Times New Roman" w:cs="Times New Roman"/>
                <w:sz w:val="24"/>
                <w:szCs w:val="24"/>
                <w:lang w:eastAsia="lv-LV"/>
              </w:rPr>
              <w:t xml:space="preserve">Atbildīgās iestādes funkcijas pilda Valsts kanceleja, sadarbības iestādes funkcijas – Centrālā finanšu un līgumu aģentūra. VAS ir Eiropas Savienības fondu finansējuma saņēmēja. Finansējuma samazinājums VAS tiek plānots ar 2019. gadu, jo, izvērtējot VAS projektus, tika vērtēts arī finanšu snieguma rādītājs 2018. gada beigās, kas ir jāsasniedz, neskatoties uz veiktajām izmaiņām un pārdalēm. </w:t>
            </w:r>
            <w:r w:rsidR="0029401F" w:rsidRPr="00DE329E">
              <w:rPr>
                <w:rFonts w:eastAsia="Calibri" w:cs="Times New Roman"/>
                <w:spacing w:val="-4"/>
                <w:sz w:val="24"/>
                <w:szCs w:val="24"/>
              </w:rPr>
              <w:t>Pēc noteikumu projekta grozījumu stāšanās spēkā, bet ne v</w:t>
            </w:r>
            <w:r w:rsidR="00496E1C">
              <w:rPr>
                <w:rFonts w:eastAsia="Calibri" w:cs="Times New Roman"/>
                <w:spacing w:val="-4"/>
                <w:sz w:val="24"/>
                <w:szCs w:val="24"/>
              </w:rPr>
              <w:t>ē</w:t>
            </w:r>
            <w:r w:rsidR="0029401F" w:rsidRPr="00DE329E">
              <w:rPr>
                <w:rFonts w:eastAsia="Calibri" w:cs="Times New Roman"/>
                <w:spacing w:val="-4"/>
                <w:sz w:val="24"/>
                <w:szCs w:val="24"/>
              </w:rPr>
              <w:t xml:space="preserve">lāk kā 2 mēnešu laikā </w:t>
            </w:r>
            <w:r w:rsidR="00496E1C">
              <w:rPr>
                <w:rFonts w:eastAsia="Calibri" w:cs="Times New Roman"/>
                <w:spacing w:val="-4"/>
                <w:sz w:val="24"/>
                <w:szCs w:val="24"/>
              </w:rPr>
              <w:t>VAS</w:t>
            </w:r>
            <w:r w:rsidR="0029401F" w:rsidRPr="00DE329E">
              <w:rPr>
                <w:rFonts w:eastAsia="Calibri" w:cs="Times New Roman"/>
                <w:spacing w:val="-4"/>
                <w:sz w:val="24"/>
                <w:szCs w:val="24"/>
              </w:rPr>
              <w:t xml:space="preserve"> ir jāveic grozījumi projektā ''Valsts pārvaldes cilvēkresursu profesionālā pilnveide labāka regulējuma izstrādē mazo un vidējo komersantu atbalsta jomā'' un </w:t>
            </w:r>
            <w:r w:rsidR="00711F5C">
              <w:rPr>
                <w:rFonts w:eastAsia="Calibri" w:cs="Times New Roman"/>
                <w:spacing w:val="-4"/>
                <w:sz w:val="24"/>
                <w:szCs w:val="24"/>
              </w:rPr>
              <w:t>"</w:t>
            </w:r>
            <w:r w:rsidR="0029401F" w:rsidRPr="00DE329E">
              <w:rPr>
                <w:rFonts w:eastAsia="Calibri" w:cs="Times New Roman"/>
                <w:spacing w:val="-4"/>
                <w:sz w:val="24"/>
                <w:szCs w:val="24"/>
              </w:rPr>
              <w:t>Valsts pārvaldes cilvēkresursu profesionālā pilnveide korupcijas novēršanas un ēnu ekonomikas mazināšanas jomā</w:t>
            </w:r>
            <w:r w:rsidR="00711F5C">
              <w:rPr>
                <w:rFonts w:eastAsia="Calibri" w:cs="Times New Roman"/>
                <w:spacing w:val="-4"/>
                <w:sz w:val="24"/>
                <w:szCs w:val="24"/>
              </w:rPr>
              <w:t>"</w:t>
            </w:r>
            <w:r w:rsidR="0029401F" w:rsidRPr="00DE329E">
              <w:rPr>
                <w:rFonts w:eastAsia="Calibri" w:cs="Times New Roman"/>
                <w:spacing w:val="-4"/>
                <w:sz w:val="24"/>
                <w:szCs w:val="24"/>
              </w:rPr>
              <w:t xml:space="preserve">, </w:t>
            </w:r>
            <w:r w:rsidR="009F6CDC" w:rsidRPr="00DE329E">
              <w:rPr>
                <w:rFonts w:eastAsia="Calibri" w:cs="Times New Roman"/>
                <w:spacing w:val="-4"/>
                <w:sz w:val="24"/>
                <w:szCs w:val="24"/>
              </w:rPr>
              <w:t xml:space="preserve">katrā </w:t>
            </w:r>
            <w:r w:rsidR="0029401F" w:rsidRPr="00DE329E">
              <w:rPr>
                <w:rFonts w:eastAsia="Calibri" w:cs="Times New Roman"/>
                <w:spacing w:val="-4"/>
                <w:sz w:val="24"/>
                <w:szCs w:val="24"/>
              </w:rPr>
              <w:t xml:space="preserve"> projekt</w:t>
            </w:r>
            <w:r w:rsidR="009F6CDC" w:rsidRPr="00DE329E">
              <w:rPr>
                <w:rFonts w:eastAsia="Calibri" w:cs="Times New Roman"/>
                <w:spacing w:val="-4"/>
                <w:sz w:val="24"/>
                <w:szCs w:val="24"/>
              </w:rPr>
              <w:t>ā</w:t>
            </w:r>
            <w:r w:rsidR="0029401F" w:rsidRPr="00DE329E">
              <w:rPr>
                <w:rFonts w:eastAsia="Calibri" w:cs="Times New Roman"/>
                <w:spacing w:val="-4"/>
                <w:sz w:val="24"/>
                <w:szCs w:val="24"/>
              </w:rPr>
              <w:t xml:space="preserve"> samazinot finansējumu  </w:t>
            </w:r>
            <w:r w:rsidR="009F6CDC" w:rsidRPr="00DE329E">
              <w:rPr>
                <w:rFonts w:eastAsia="Calibri" w:cs="Times New Roman"/>
                <w:spacing w:val="-4"/>
                <w:sz w:val="24"/>
                <w:szCs w:val="24"/>
              </w:rPr>
              <w:t xml:space="preserve">par </w:t>
            </w:r>
            <w:r w:rsidR="0029401F" w:rsidRPr="00DE329E">
              <w:rPr>
                <w:rFonts w:eastAsia="Calibri" w:cs="Times New Roman"/>
                <w:spacing w:val="-4"/>
                <w:sz w:val="24"/>
                <w:szCs w:val="24"/>
              </w:rPr>
              <w:t xml:space="preserve">200 000 </w:t>
            </w:r>
            <w:r w:rsidR="0029401F" w:rsidRPr="00DE329E">
              <w:rPr>
                <w:rFonts w:eastAsia="Calibri" w:cs="Times New Roman"/>
                <w:i/>
                <w:spacing w:val="-4"/>
                <w:sz w:val="24"/>
                <w:szCs w:val="24"/>
              </w:rPr>
              <w:t>euro</w:t>
            </w:r>
            <w:r w:rsidR="009F6CDC" w:rsidRPr="00DE329E">
              <w:rPr>
                <w:rFonts w:eastAsia="Calibri" w:cs="Times New Roman"/>
                <w:spacing w:val="-4"/>
                <w:sz w:val="24"/>
                <w:szCs w:val="24"/>
              </w:rPr>
              <w:t>.</w:t>
            </w:r>
          </w:p>
        </w:tc>
      </w:tr>
      <w:tr w:rsidR="00DE329E" w:rsidRPr="00DE329E" w14:paraId="1E6B1310" w14:textId="77777777" w:rsidTr="00D31773">
        <w:tc>
          <w:tcPr>
            <w:tcW w:w="426" w:type="dxa"/>
          </w:tcPr>
          <w:p w14:paraId="7BEB2A74" w14:textId="697B1C32" w:rsidR="00D31773" w:rsidRPr="00DE329E" w:rsidRDefault="00D31773" w:rsidP="00115E82">
            <w:pPr>
              <w:rPr>
                <w:rFonts w:eastAsia="Times New Roman" w:cs="Times New Roman"/>
                <w:sz w:val="16"/>
                <w:szCs w:val="16"/>
                <w:lang w:eastAsia="lv-LV"/>
              </w:rPr>
            </w:pPr>
            <w:r w:rsidRPr="00DE329E">
              <w:rPr>
                <w:sz w:val="24"/>
                <w:szCs w:val="24"/>
              </w:rPr>
              <w:t>2.</w:t>
            </w:r>
          </w:p>
        </w:tc>
        <w:tc>
          <w:tcPr>
            <w:tcW w:w="3119" w:type="dxa"/>
          </w:tcPr>
          <w:p w14:paraId="07C8A8FE" w14:textId="38835BA6" w:rsidR="00D31773" w:rsidRPr="00DE329E" w:rsidRDefault="00D31773" w:rsidP="00115E82">
            <w:pPr>
              <w:rPr>
                <w:rFonts w:eastAsia="Times New Roman" w:cs="Times New Roman"/>
                <w:sz w:val="16"/>
                <w:szCs w:val="16"/>
                <w:lang w:eastAsia="lv-LV"/>
              </w:rPr>
            </w:pPr>
            <w:r w:rsidRPr="00DE329E">
              <w:rPr>
                <w:rFonts w:eastAsia="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6379" w:type="dxa"/>
          </w:tcPr>
          <w:p w14:paraId="3807CDB3" w14:textId="68564499" w:rsidR="00D31773" w:rsidRPr="00DE329E" w:rsidRDefault="00D31773" w:rsidP="00115E82">
            <w:pPr>
              <w:rPr>
                <w:rFonts w:eastAsia="Times New Roman" w:cs="Times New Roman"/>
                <w:sz w:val="16"/>
                <w:szCs w:val="16"/>
                <w:lang w:eastAsia="lv-LV"/>
              </w:rPr>
            </w:pPr>
            <w:r w:rsidRPr="00DE329E">
              <w:rPr>
                <w:rFonts w:eastAsia="Times New Roman" w:cs="Times New Roman"/>
                <w:sz w:val="24"/>
                <w:szCs w:val="24"/>
                <w:lang w:eastAsia="lv-LV"/>
              </w:rPr>
              <w:t>Noteikumu projekts šo jomu neskar</w:t>
            </w:r>
          </w:p>
        </w:tc>
      </w:tr>
      <w:tr w:rsidR="00DE329E" w:rsidRPr="00DE329E" w14:paraId="0D176153" w14:textId="77777777" w:rsidTr="00D31773">
        <w:tc>
          <w:tcPr>
            <w:tcW w:w="426" w:type="dxa"/>
          </w:tcPr>
          <w:p w14:paraId="0CC707C9" w14:textId="6B47EFC4" w:rsidR="00D31773" w:rsidRPr="00DE329E" w:rsidRDefault="00D31773" w:rsidP="00115E82">
            <w:pPr>
              <w:rPr>
                <w:rFonts w:eastAsia="Times New Roman" w:cs="Times New Roman"/>
                <w:sz w:val="16"/>
                <w:szCs w:val="16"/>
                <w:lang w:eastAsia="lv-LV"/>
              </w:rPr>
            </w:pPr>
            <w:r w:rsidRPr="00DE329E">
              <w:rPr>
                <w:sz w:val="24"/>
                <w:szCs w:val="24"/>
              </w:rPr>
              <w:t>3.</w:t>
            </w:r>
          </w:p>
        </w:tc>
        <w:tc>
          <w:tcPr>
            <w:tcW w:w="3119" w:type="dxa"/>
          </w:tcPr>
          <w:p w14:paraId="4A825B9F" w14:textId="1034A4C1" w:rsidR="00D31773" w:rsidRPr="00DE329E" w:rsidRDefault="00D31773" w:rsidP="00115E82">
            <w:pPr>
              <w:rPr>
                <w:rFonts w:eastAsia="Times New Roman" w:cs="Times New Roman"/>
                <w:sz w:val="16"/>
                <w:szCs w:val="16"/>
                <w:lang w:eastAsia="lv-LV"/>
              </w:rPr>
            </w:pPr>
            <w:r w:rsidRPr="00DE329E">
              <w:rPr>
                <w:rFonts w:eastAsia="Times New Roman" w:cs="Times New Roman"/>
                <w:sz w:val="24"/>
                <w:szCs w:val="24"/>
                <w:lang w:eastAsia="lv-LV"/>
              </w:rPr>
              <w:t>Cita informācija</w:t>
            </w:r>
          </w:p>
        </w:tc>
        <w:tc>
          <w:tcPr>
            <w:tcW w:w="6379" w:type="dxa"/>
          </w:tcPr>
          <w:p w14:paraId="0601C60C" w14:textId="650E2D99" w:rsidR="00D31773" w:rsidRPr="00DE329E" w:rsidRDefault="00D31773" w:rsidP="00115E82">
            <w:pPr>
              <w:rPr>
                <w:rFonts w:eastAsia="Times New Roman" w:cs="Times New Roman"/>
                <w:sz w:val="16"/>
                <w:szCs w:val="16"/>
                <w:lang w:eastAsia="lv-LV"/>
              </w:rPr>
            </w:pPr>
            <w:r w:rsidRPr="00DE329E">
              <w:rPr>
                <w:rFonts w:eastAsia="Times New Roman" w:cs="Times New Roman"/>
                <w:sz w:val="24"/>
                <w:szCs w:val="24"/>
                <w:lang w:eastAsia="lv-LV"/>
              </w:rPr>
              <w:t>Nav</w:t>
            </w:r>
          </w:p>
        </w:tc>
      </w:tr>
    </w:tbl>
    <w:p w14:paraId="38850D75" w14:textId="77777777" w:rsidR="00DB5926" w:rsidRPr="00DE329E" w:rsidRDefault="00DB5926" w:rsidP="00115E82">
      <w:pPr>
        <w:rPr>
          <w:rFonts w:eastAsia="Times New Roman" w:cs="Times New Roman"/>
          <w:sz w:val="16"/>
          <w:szCs w:val="16"/>
          <w:lang w:eastAsia="lv-LV"/>
        </w:rPr>
      </w:pPr>
    </w:p>
    <w:p w14:paraId="273ABF2B" w14:textId="77777777" w:rsidR="0029401F" w:rsidRPr="00DE329E" w:rsidRDefault="0029401F" w:rsidP="00115E82">
      <w:pPr>
        <w:rPr>
          <w:rFonts w:eastAsia="Times New Roman" w:cs="Times New Roman"/>
          <w:i/>
          <w:iCs/>
          <w:sz w:val="24"/>
          <w:szCs w:val="24"/>
          <w:lang w:eastAsia="lv-LV"/>
        </w:rPr>
      </w:pPr>
    </w:p>
    <w:p w14:paraId="38850D87" w14:textId="77777777" w:rsidR="00983E53" w:rsidRPr="00DE329E" w:rsidRDefault="00983E53" w:rsidP="00983E53">
      <w:pPr>
        <w:tabs>
          <w:tab w:val="left" w:pos="6804"/>
        </w:tabs>
        <w:rPr>
          <w:rFonts w:eastAsia="Times New Roman" w:cs="Times New Roman"/>
          <w:bCs/>
          <w:szCs w:val="28"/>
          <w:lang w:eastAsia="lv-LV"/>
        </w:rPr>
      </w:pPr>
    </w:p>
    <w:p w14:paraId="412ACB72" w14:textId="77777777" w:rsidR="00C37C85" w:rsidRPr="00067933" w:rsidRDefault="00C37C85" w:rsidP="00C37C85">
      <w:pPr>
        <w:pStyle w:val="NormalWeb"/>
        <w:tabs>
          <w:tab w:val="left" w:pos="6379"/>
        </w:tabs>
        <w:ind w:firstLine="709"/>
        <w:rPr>
          <w:sz w:val="28"/>
          <w:szCs w:val="28"/>
        </w:rPr>
      </w:pPr>
      <w:r w:rsidRPr="00067933">
        <w:rPr>
          <w:sz w:val="28"/>
          <w:szCs w:val="28"/>
        </w:rPr>
        <w:t>Ministru prezidents</w:t>
      </w:r>
      <w:r w:rsidRPr="00067933">
        <w:rPr>
          <w:sz w:val="28"/>
          <w:szCs w:val="28"/>
        </w:rPr>
        <w:tab/>
        <w:t>Māris Kučinskis</w:t>
      </w:r>
    </w:p>
    <w:p w14:paraId="38850D88" w14:textId="4E30CCBA" w:rsidR="00983E53" w:rsidRPr="00DE329E" w:rsidRDefault="00983E53" w:rsidP="00983E53">
      <w:pPr>
        <w:tabs>
          <w:tab w:val="left" w:pos="6804"/>
        </w:tabs>
        <w:rPr>
          <w:rFonts w:eastAsia="Times New Roman" w:cs="Times New Roman"/>
          <w:bCs/>
          <w:szCs w:val="28"/>
          <w:lang w:eastAsia="lv-LV"/>
        </w:rPr>
      </w:pPr>
    </w:p>
    <w:p w14:paraId="66E29683" w14:textId="77777777" w:rsidR="00751D20" w:rsidRPr="00DE329E" w:rsidRDefault="00751D20" w:rsidP="00983E53">
      <w:pPr>
        <w:tabs>
          <w:tab w:val="left" w:pos="6804"/>
        </w:tabs>
        <w:rPr>
          <w:rFonts w:eastAsia="Times New Roman" w:cs="Times New Roman"/>
          <w:bCs/>
          <w:szCs w:val="28"/>
          <w:lang w:eastAsia="lv-LV"/>
        </w:rPr>
      </w:pPr>
    </w:p>
    <w:p w14:paraId="38850D8A" w14:textId="77777777" w:rsidR="00983E53" w:rsidRPr="00DE329E" w:rsidRDefault="00983E53" w:rsidP="00983E53">
      <w:pPr>
        <w:tabs>
          <w:tab w:val="left" w:pos="6804"/>
        </w:tabs>
        <w:rPr>
          <w:rFonts w:eastAsia="Times New Roman" w:cs="Times New Roman"/>
          <w:bCs/>
          <w:szCs w:val="28"/>
          <w:lang w:eastAsia="lv-LV"/>
        </w:rPr>
      </w:pPr>
    </w:p>
    <w:p w14:paraId="38850D8B" w14:textId="77777777" w:rsidR="007553A8" w:rsidRPr="00DE329E" w:rsidRDefault="00983E53" w:rsidP="00C37C85">
      <w:pPr>
        <w:tabs>
          <w:tab w:val="left" w:pos="6804"/>
        </w:tabs>
        <w:ind w:firstLine="709"/>
        <w:rPr>
          <w:rFonts w:eastAsia="Times New Roman" w:cs="Times New Roman"/>
          <w:bCs/>
          <w:szCs w:val="28"/>
          <w:lang w:eastAsia="lv-LV"/>
        </w:rPr>
      </w:pPr>
      <w:r w:rsidRPr="00DE329E">
        <w:rPr>
          <w:rFonts w:eastAsia="Times New Roman" w:cs="Times New Roman"/>
          <w:bCs/>
          <w:szCs w:val="28"/>
          <w:lang w:eastAsia="lv-LV"/>
        </w:rPr>
        <w:t xml:space="preserve">Vizē: </w:t>
      </w:r>
    </w:p>
    <w:p w14:paraId="38850D8C" w14:textId="7AB5DDEF" w:rsidR="00983E53" w:rsidRPr="00DE329E" w:rsidRDefault="00751D20" w:rsidP="00C37C85">
      <w:pPr>
        <w:tabs>
          <w:tab w:val="left" w:pos="6804"/>
        </w:tabs>
        <w:ind w:firstLine="709"/>
        <w:rPr>
          <w:rFonts w:eastAsia="Times New Roman" w:cs="Times New Roman"/>
          <w:bCs/>
          <w:szCs w:val="28"/>
          <w:lang w:eastAsia="lv-LV"/>
        </w:rPr>
      </w:pPr>
      <w:r w:rsidRPr="00DE329E">
        <w:rPr>
          <w:rFonts w:eastAsia="Times New Roman" w:cs="Times New Roman"/>
          <w:bCs/>
          <w:szCs w:val="28"/>
          <w:lang w:eastAsia="lv-LV"/>
        </w:rPr>
        <w:t>Valsts kancelejas direk</w:t>
      </w:r>
      <w:r w:rsidR="00C37C85">
        <w:rPr>
          <w:rFonts w:eastAsia="Times New Roman" w:cs="Times New Roman"/>
          <w:bCs/>
          <w:szCs w:val="28"/>
          <w:lang w:eastAsia="lv-LV"/>
        </w:rPr>
        <w:t>tors ___________________</w:t>
      </w:r>
      <w:r w:rsidR="004F40F9" w:rsidRPr="00DE329E">
        <w:rPr>
          <w:rFonts w:eastAsia="Times New Roman" w:cs="Times New Roman"/>
          <w:bCs/>
          <w:szCs w:val="28"/>
          <w:lang w:eastAsia="lv-LV"/>
        </w:rPr>
        <w:t xml:space="preserve">Jānis Citskovskis </w:t>
      </w:r>
    </w:p>
    <w:p w14:paraId="38850D8D" w14:textId="77777777" w:rsidR="00983E53" w:rsidRPr="00DE329E" w:rsidRDefault="00983E53" w:rsidP="00C37C85">
      <w:pPr>
        <w:tabs>
          <w:tab w:val="left" w:pos="6804"/>
        </w:tabs>
        <w:rPr>
          <w:rFonts w:eastAsia="Times New Roman" w:cs="Times New Roman"/>
          <w:bCs/>
          <w:szCs w:val="28"/>
          <w:lang w:eastAsia="lv-LV"/>
        </w:rPr>
      </w:pPr>
    </w:p>
    <w:p w14:paraId="1DB51B60" w14:textId="77777777" w:rsidR="00751D20" w:rsidRPr="00DE329E" w:rsidRDefault="00751D20" w:rsidP="00983E53">
      <w:pPr>
        <w:tabs>
          <w:tab w:val="left" w:pos="6804"/>
        </w:tabs>
        <w:rPr>
          <w:rFonts w:eastAsia="Times New Roman" w:cs="Times New Roman"/>
          <w:bCs/>
          <w:szCs w:val="28"/>
          <w:lang w:eastAsia="lv-LV"/>
        </w:rPr>
      </w:pPr>
    </w:p>
    <w:p w14:paraId="47E7E80C" w14:textId="77777777" w:rsidR="00751D20" w:rsidRPr="00DE329E" w:rsidRDefault="00751D20" w:rsidP="00983E53">
      <w:pPr>
        <w:tabs>
          <w:tab w:val="left" w:pos="6804"/>
        </w:tabs>
        <w:rPr>
          <w:rFonts w:eastAsia="Times New Roman" w:cs="Times New Roman"/>
          <w:bCs/>
          <w:szCs w:val="28"/>
          <w:lang w:eastAsia="lv-LV"/>
        </w:rPr>
      </w:pPr>
    </w:p>
    <w:p w14:paraId="38850D8E" w14:textId="547806DF" w:rsidR="00983E53" w:rsidRPr="00DE329E" w:rsidRDefault="00983E53" w:rsidP="00983E53">
      <w:pPr>
        <w:jc w:val="both"/>
        <w:rPr>
          <w:rFonts w:eastAsia="Times New Roman" w:cs="Times New Roman"/>
          <w:sz w:val="20"/>
          <w:szCs w:val="20"/>
          <w:lang w:eastAsia="lv-LV"/>
        </w:rPr>
      </w:pPr>
      <w:r w:rsidRPr="00DE329E">
        <w:rPr>
          <w:rFonts w:eastAsia="Times New Roman" w:cs="Times New Roman"/>
          <w:sz w:val="20"/>
          <w:szCs w:val="20"/>
          <w:lang w:eastAsia="lv-LV"/>
        </w:rPr>
        <w:fldChar w:fldCharType="begin"/>
      </w:r>
      <w:r w:rsidRPr="00DE329E">
        <w:rPr>
          <w:rFonts w:eastAsia="Times New Roman" w:cs="Times New Roman"/>
          <w:sz w:val="20"/>
          <w:szCs w:val="20"/>
          <w:lang w:eastAsia="lv-LV"/>
        </w:rPr>
        <w:instrText xml:space="preserve"> TIME  \@ "yyyy.MM.dd. H:mm"  \* MERGEFORMAT </w:instrText>
      </w:r>
      <w:r w:rsidRPr="00DE329E">
        <w:rPr>
          <w:rFonts w:eastAsia="Times New Roman" w:cs="Times New Roman"/>
          <w:sz w:val="20"/>
          <w:szCs w:val="20"/>
          <w:lang w:eastAsia="lv-LV"/>
        </w:rPr>
        <w:fldChar w:fldCharType="separate"/>
      </w:r>
      <w:r w:rsidR="00496E1C">
        <w:rPr>
          <w:rFonts w:eastAsia="Times New Roman" w:cs="Times New Roman"/>
          <w:noProof/>
          <w:sz w:val="20"/>
          <w:szCs w:val="20"/>
          <w:lang w:eastAsia="lv-LV"/>
        </w:rPr>
        <w:t>2017.11.07. 13:41</w:t>
      </w:r>
      <w:r w:rsidRPr="00DE329E">
        <w:rPr>
          <w:rFonts w:eastAsia="Times New Roman" w:cs="Times New Roman"/>
          <w:sz w:val="20"/>
          <w:szCs w:val="20"/>
          <w:lang w:eastAsia="lv-LV"/>
        </w:rPr>
        <w:fldChar w:fldCharType="end"/>
      </w:r>
    </w:p>
    <w:p w14:paraId="38850D8F" w14:textId="14C2E1A1" w:rsidR="00983E53" w:rsidRPr="00DE329E" w:rsidRDefault="00C37C85" w:rsidP="00983E53">
      <w:pPr>
        <w:jc w:val="both"/>
        <w:rPr>
          <w:rFonts w:eastAsia="Times New Roman" w:cs="Times New Roman"/>
          <w:sz w:val="20"/>
          <w:szCs w:val="20"/>
          <w:lang w:eastAsia="lv-LV"/>
        </w:rPr>
      </w:pPr>
      <w:r>
        <w:rPr>
          <w:rFonts w:eastAsia="Times New Roman" w:cs="Times New Roman"/>
          <w:sz w:val="20"/>
          <w:szCs w:val="20"/>
          <w:lang w:eastAsia="lv-LV"/>
        </w:rPr>
        <w:t>1</w:t>
      </w:r>
      <w:r w:rsidR="00496E1C">
        <w:rPr>
          <w:rFonts w:eastAsia="Times New Roman" w:cs="Times New Roman"/>
          <w:sz w:val="20"/>
          <w:szCs w:val="20"/>
          <w:lang w:eastAsia="lv-LV"/>
        </w:rPr>
        <w:t>595</w:t>
      </w:r>
      <w:bookmarkStart w:id="2" w:name="_GoBack"/>
      <w:bookmarkEnd w:id="2"/>
    </w:p>
    <w:p w14:paraId="38850D90" w14:textId="77777777" w:rsidR="00983E53" w:rsidRPr="00DE329E" w:rsidRDefault="00983E53" w:rsidP="00983E53">
      <w:pPr>
        <w:rPr>
          <w:rFonts w:eastAsia="Times New Roman" w:cs="Times New Roman"/>
          <w:noProof/>
          <w:sz w:val="20"/>
          <w:szCs w:val="20"/>
          <w:lang w:eastAsia="lv-LV"/>
        </w:rPr>
      </w:pPr>
      <w:r w:rsidRPr="00DE329E">
        <w:rPr>
          <w:rFonts w:eastAsia="Times New Roman" w:cs="Times New Roman"/>
          <w:noProof/>
          <w:sz w:val="20"/>
          <w:szCs w:val="20"/>
          <w:lang w:eastAsia="lv-LV"/>
        </w:rPr>
        <w:t>Balode 67082917</w:t>
      </w:r>
    </w:p>
    <w:p w14:paraId="38850D91" w14:textId="2EBF68B3" w:rsidR="00983E53" w:rsidRPr="00DE329E" w:rsidRDefault="00496E1C" w:rsidP="00983E53">
      <w:pPr>
        <w:rPr>
          <w:rFonts w:eastAsia="Times New Roman" w:cs="Times New Roman"/>
          <w:sz w:val="24"/>
          <w:szCs w:val="24"/>
          <w:lang w:eastAsia="lv-LV"/>
        </w:rPr>
      </w:pPr>
      <w:hyperlink r:id="rId12" w:history="1">
        <w:r w:rsidR="00751D20" w:rsidRPr="00DE329E">
          <w:rPr>
            <w:rStyle w:val="Hyperlink"/>
            <w:rFonts w:eastAsia="Times New Roman" w:cs="Times New Roman"/>
            <w:color w:val="auto"/>
            <w:sz w:val="20"/>
            <w:szCs w:val="20"/>
            <w:lang w:eastAsia="lv-LV"/>
          </w:rPr>
          <w:t>Dace.Balode@mk.gov.lv</w:t>
        </w:r>
      </w:hyperlink>
      <w:r w:rsidR="00983E53" w:rsidRPr="00DE329E">
        <w:rPr>
          <w:rFonts w:eastAsia="Times New Roman" w:cs="Times New Roman"/>
          <w:sz w:val="20"/>
          <w:szCs w:val="20"/>
          <w:lang w:eastAsia="lv-LV"/>
        </w:rPr>
        <w:t xml:space="preserve"> </w:t>
      </w:r>
    </w:p>
    <w:sectPr w:rsidR="00983E53" w:rsidRPr="00DE329E" w:rsidSect="00751D20">
      <w:headerReference w:type="default" r:id="rId13"/>
      <w:footerReference w:type="default" r:id="rId14"/>
      <w:footerReference w:type="first" r:id="rId15"/>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4ADFB" w14:textId="77777777" w:rsidR="00501DD9" w:rsidRDefault="00501DD9" w:rsidP="007740F2">
      <w:r>
        <w:separator/>
      </w:r>
    </w:p>
  </w:endnote>
  <w:endnote w:type="continuationSeparator" w:id="0">
    <w:p w14:paraId="4117F36B" w14:textId="77777777" w:rsidR="00501DD9" w:rsidRDefault="00501DD9" w:rsidP="00774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7D4CC" w14:textId="3D40C744" w:rsidR="00005352" w:rsidRPr="00523728" w:rsidRDefault="00005352" w:rsidP="00005352">
    <w:pPr>
      <w:pStyle w:val="Footer"/>
      <w:jc w:val="both"/>
      <w:rPr>
        <w:rFonts w:cs="Times New Roman"/>
        <w:sz w:val="18"/>
        <w:szCs w:val="18"/>
      </w:rPr>
    </w:pPr>
    <w:r>
      <w:rPr>
        <w:sz w:val="18"/>
        <w:szCs w:val="18"/>
      </w:rPr>
      <w:t>VK</w:t>
    </w:r>
    <w:r w:rsidRPr="00523728">
      <w:rPr>
        <w:sz w:val="18"/>
        <w:szCs w:val="18"/>
      </w:rPr>
      <w:t>Anot_</w:t>
    </w:r>
    <w:r>
      <w:rPr>
        <w:sz w:val="18"/>
        <w:szCs w:val="18"/>
      </w:rPr>
      <w:t>MKgroz</w:t>
    </w:r>
    <w:r>
      <w:rPr>
        <w:rFonts w:cs="Times New Roman"/>
        <w:sz w:val="18"/>
        <w:szCs w:val="18"/>
      </w:rPr>
      <w:t>389_31082017; MK noteikumu</w:t>
    </w:r>
    <w:r w:rsidRPr="00B85A0F">
      <w:rPr>
        <w:rFonts w:cs="Times New Roman"/>
        <w:sz w:val="18"/>
        <w:szCs w:val="18"/>
      </w:rPr>
      <w:t xml:space="preserve"> </w:t>
    </w:r>
    <w:r>
      <w:rPr>
        <w:rFonts w:cs="Times New Roman"/>
        <w:sz w:val="18"/>
        <w:szCs w:val="18"/>
      </w:rPr>
      <w:t>projekta "Grozījumi</w:t>
    </w:r>
    <w:r w:rsidRPr="00B85A0F">
      <w:rPr>
        <w:rFonts w:cs="Times New Roman"/>
        <w:sz w:val="18"/>
        <w:szCs w:val="18"/>
      </w:rPr>
      <w:t xml:space="preserve"> Ministru kabineta 2015.gada 14.jūlija noteikumos Nr. 389 “Darbības programmas "Izaugsme un nodarbinātība" 3.4.2. specifiskā atbalsta mērķa "Valsts pārvaldes profesionālā pilnveide labāka tiesiskā regulējuma izstrādē mazo un vidējo komersantu atbalsta, korupcijas novēršanas un ēnu ekonomikas mazināša</w:t>
    </w:r>
    <w:r>
      <w:rPr>
        <w:rFonts w:cs="Times New Roman"/>
        <w:sz w:val="18"/>
        <w:szCs w:val="18"/>
      </w:rPr>
      <w:t xml:space="preserve">nas jomās" </w:t>
    </w:r>
    <w:r w:rsidRPr="00942FB1">
      <w:rPr>
        <w:rFonts w:cs="Times New Roman"/>
        <w:sz w:val="18"/>
        <w:szCs w:val="18"/>
      </w:rPr>
      <w:t>3.4.2.1. pasākuma "Valsts pārvaldes profesionālā pilnveide labāka tiesiska regulējuma izstrādē mazo un vidējo komersantu atbalsta, korupcijas novēršanas un ēnu ekonomikas mazināšanas jomās"</w:t>
    </w:r>
    <w:r>
      <w:rPr>
        <w:rFonts w:cs="Times New Roman"/>
        <w:sz w:val="18"/>
        <w:szCs w:val="18"/>
      </w:rPr>
      <w:t xml:space="preserve"> īstenošanas noteikumu</w:t>
    </w:r>
    <w:r w:rsidRPr="00B85A0F">
      <w:rPr>
        <w:rFonts w:cs="Times New Roman"/>
        <w:sz w:val="18"/>
        <w:szCs w:val="18"/>
      </w:rPr>
      <w:t xml:space="preserve">” </w:t>
    </w:r>
    <w:r>
      <w:rPr>
        <w:rFonts w:cs="Times New Roman"/>
        <w:sz w:val="18"/>
        <w:szCs w:val="18"/>
      </w:rPr>
      <w:t xml:space="preserve">sākotnējās ietekmes novērtējuma ziņojums (anotācija) </w:t>
    </w:r>
    <w:r w:rsidR="00C37C85">
      <w:rPr>
        <w:rFonts w:cs="Times New Roman"/>
        <w:sz w:val="18"/>
        <w:szCs w:val="18"/>
      </w:rPr>
      <w:t>(47815)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50D9B" w14:textId="35C8050D" w:rsidR="003671E2" w:rsidRPr="00523728" w:rsidRDefault="00B85A0F" w:rsidP="003671E2">
    <w:pPr>
      <w:pStyle w:val="Footer"/>
      <w:jc w:val="both"/>
      <w:rPr>
        <w:rFonts w:cs="Times New Roman"/>
        <w:sz w:val="18"/>
        <w:szCs w:val="18"/>
      </w:rPr>
    </w:pPr>
    <w:r>
      <w:rPr>
        <w:sz w:val="18"/>
        <w:szCs w:val="18"/>
      </w:rPr>
      <w:t>VK</w:t>
    </w:r>
    <w:r w:rsidR="003671E2" w:rsidRPr="00523728">
      <w:rPr>
        <w:sz w:val="18"/>
        <w:szCs w:val="18"/>
      </w:rPr>
      <w:t>Anot_</w:t>
    </w:r>
    <w:r w:rsidR="00005352">
      <w:rPr>
        <w:sz w:val="18"/>
        <w:szCs w:val="18"/>
      </w:rPr>
      <w:t>MKgroz</w:t>
    </w:r>
    <w:r>
      <w:rPr>
        <w:rFonts w:cs="Times New Roman"/>
        <w:sz w:val="18"/>
        <w:szCs w:val="18"/>
      </w:rPr>
      <w:t>389</w:t>
    </w:r>
    <w:r w:rsidR="00005352">
      <w:rPr>
        <w:rFonts w:cs="Times New Roman"/>
        <w:sz w:val="18"/>
        <w:szCs w:val="18"/>
      </w:rPr>
      <w:t>_31082017</w:t>
    </w:r>
    <w:r>
      <w:rPr>
        <w:rFonts w:cs="Times New Roman"/>
        <w:sz w:val="18"/>
        <w:szCs w:val="18"/>
      </w:rPr>
      <w:t>; MK noteikumu</w:t>
    </w:r>
    <w:r w:rsidRPr="00B85A0F">
      <w:rPr>
        <w:rFonts w:cs="Times New Roman"/>
        <w:sz w:val="18"/>
        <w:szCs w:val="18"/>
      </w:rPr>
      <w:t xml:space="preserve"> </w:t>
    </w:r>
    <w:r>
      <w:rPr>
        <w:rFonts w:cs="Times New Roman"/>
        <w:sz w:val="18"/>
        <w:szCs w:val="18"/>
      </w:rPr>
      <w:t>projekta "Grozījumi</w:t>
    </w:r>
    <w:r w:rsidRPr="00B85A0F">
      <w:rPr>
        <w:rFonts w:cs="Times New Roman"/>
        <w:sz w:val="18"/>
        <w:szCs w:val="18"/>
      </w:rPr>
      <w:t xml:space="preserve"> Ministru kabineta 2015.gada 14.jūlija noteikumos Nr. 389 “Darbības programmas "Izaugsme un nodarbinātība" 3.4.2. specifiskā atbalsta mērķa "Valsts pārvaldes profesionālā pilnveide labāka tiesiskā regulējuma izstrādē mazo un vidējo komersantu atbalsta, korupcijas novēršanas un ēnu ekonomikas mazināša</w:t>
    </w:r>
    <w:r>
      <w:rPr>
        <w:rFonts w:cs="Times New Roman"/>
        <w:sz w:val="18"/>
        <w:szCs w:val="18"/>
      </w:rPr>
      <w:t>nas jomās"</w:t>
    </w:r>
    <w:r w:rsidR="00942FB1">
      <w:rPr>
        <w:rFonts w:cs="Times New Roman"/>
        <w:sz w:val="18"/>
        <w:szCs w:val="18"/>
      </w:rPr>
      <w:t xml:space="preserve"> </w:t>
    </w:r>
    <w:r w:rsidR="00942FB1" w:rsidRPr="00942FB1">
      <w:rPr>
        <w:rFonts w:cs="Times New Roman"/>
        <w:sz w:val="18"/>
        <w:szCs w:val="18"/>
      </w:rPr>
      <w:t>3.4.2.1. pasākuma "Valsts pārvaldes profesionālā pilnveide labāka tiesiska regulējuma izstrādē mazo un vidējo komersantu atbalsta, korupcijas novēršanas un ēnu ekonomikas mazināšanas jomās"</w:t>
    </w:r>
    <w:r>
      <w:rPr>
        <w:rFonts w:cs="Times New Roman"/>
        <w:sz w:val="18"/>
        <w:szCs w:val="18"/>
      </w:rPr>
      <w:t xml:space="preserve"> īstenošanas noteikumu</w:t>
    </w:r>
    <w:r w:rsidRPr="00B85A0F">
      <w:rPr>
        <w:rFonts w:cs="Times New Roman"/>
        <w:sz w:val="18"/>
        <w:szCs w:val="18"/>
      </w:rPr>
      <w:t xml:space="preserve">” </w:t>
    </w:r>
    <w:r>
      <w:rPr>
        <w:rFonts w:cs="Times New Roman"/>
        <w:sz w:val="18"/>
        <w:szCs w:val="18"/>
      </w:rPr>
      <w:t>sākotnējās ietekmes novērtējuma ziņojums (anotācija)</w:t>
    </w:r>
    <w:r w:rsidR="00005352">
      <w:rPr>
        <w:rFonts w:cs="Times New Roman"/>
        <w:sz w:val="18"/>
        <w:szCs w:val="18"/>
      </w:rPr>
      <w:t xml:space="preserve"> (</w:t>
    </w:r>
    <w:r w:rsidR="00C37C85">
      <w:rPr>
        <w:rFonts w:cs="Times New Roman"/>
        <w:sz w:val="18"/>
        <w:szCs w:val="18"/>
      </w:rPr>
      <w:t>47815</w:t>
    </w:r>
    <w:r w:rsidR="00005352">
      <w:rPr>
        <w:rFonts w:cs="Times New Roman"/>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DBDAC" w14:textId="77777777" w:rsidR="00501DD9" w:rsidRDefault="00501DD9" w:rsidP="007740F2">
      <w:r>
        <w:separator/>
      </w:r>
    </w:p>
  </w:footnote>
  <w:footnote w:type="continuationSeparator" w:id="0">
    <w:p w14:paraId="1F9A7F53" w14:textId="77777777" w:rsidR="00501DD9" w:rsidRDefault="00501DD9" w:rsidP="00774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258421"/>
      <w:docPartObj>
        <w:docPartGallery w:val="Page Numbers (Top of Page)"/>
        <w:docPartUnique/>
      </w:docPartObj>
    </w:sdtPr>
    <w:sdtEndPr/>
    <w:sdtContent>
      <w:p w14:paraId="38850D97" w14:textId="73C5D87D" w:rsidR="0055124D" w:rsidRDefault="0055124D">
        <w:pPr>
          <w:pStyle w:val="Header"/>
          <w:jc w:val="center"/>
        </w:pPr>
        <w:r w:rsidRPr="00F8589C">
          <w:rPr>
            <w:sz w:val="24"/>
            <w:szCs w:val="24"/>
          </w:rPr>
          <w:fldChar w:fldCharType="begin"/>
        </w:r>
        <w:r w:rsidRPr="00F8589C">
          <w:rPr>
            <w:sz w:val="24"/>
            <w:szCs w:val="24"/>
          </w:rPr>
          <w:instrText xml:space="preserve"> PAGE   \* MERGEFORMAT </w:instrText>
        </w:r>
        <w:r w:rsidRPr="00F8589C">
          <w:rPr>
            <w:sz w:val="24"/>
            <w:szCs w:val="24"/>
          </w:rPr>
          <w:fldChar w:fldCharType="separate"/>
        </w:r>
        <w:r w:rsidR="00496E1C">
          <w:rPr>
            <w:noProof/>
            <w:sz w:val="24"/>
            <w:szCs w:val="24"/>
          </w:rPr>
          <w:t>6</w:t>
        </w:r>
        <w:r w:rsidRPr="00F8589C">
          <w:rPr>
            <w:noProof/>
            <w:sz w:val="24"/>
            <w:szCs w:val="24"/>
          </w:rPr>
          <w:fldChar w:fldCharType="end"/>
        </w:r>
      </w:p>
    </w:sdtContent>
  </w:sdt>
  <w:p w14:paraId="38850D98" w14:textId="77777777" w:rsidR="009821C9" w:rsidRDefault="009821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97F43"/>
    <w:multiLevelType w:val="hybridMultilevel"/>
    <w:tmpl w:val="39B6699C"/>
    <w:lvl w:ilvl="0" w:tplc="C37C0138">
      <w:start w:val="1"/>
      <w:numFmt w:val="decimal"/>
      <w:lvlText w:val="%1."/>
      <w:lvlJc w:val="left"/>
      <w:pPr>
        <w:ind w:left="913" w:hanging="645"/>
      </w:pPr>
      <w:rPr>
        <w:rFonts w:hint="default"/>
      </w:rPr>
    </w:lvl>
    <w:lvl w:ilvl="1" w:tplc="04260019" w:tentative="1">
      <w:start w:val="1"/>
      <w:numFmt w:val="lowerLetter"/>
      <w:lvlText w:val="%2."/>
      <w:lvlJc w:val="left"/>
      <w:pPr>
        <w:ind w:left="1348" w:hanging="360"/>
      </w:pPr>
    </w:lvl>
    <w:lvl w:ilvl="2" w:tplc="0426001B" w:tentative="1">
      <w:start w:val="1"/>
      <w:numFmt w:val="lowerRoman"/>
      <w:lvlText w:val="%3."/>
      <w:lvlJc w:val="right"/>
      <w:pPr>
        <w:ind w:left="2068" w:hanging="180"/>
      </w:pPr>
    </w:lvl>
    <w:lvl w:ilvl="3" w:tplc="0426000F" w:tentative="1">
      <w:start w:val="1"/>
      <w:numFmt w:val="decimal"/>
      <w:lvlText w:val="%4."/>
      <w:lvlJc w:val="left"/>
      <w:pPr>
        <w:ind w:left="2788" w:hanging="360"/>
      </w:pPr>
    </w:lvl>
    <w:lvl w:ilvl="4" w:tplc="04260019" w:tentative="1">
      <w:start w:val="1"/>
      <w:numFmt w:val="lowerLetter"/>
      <w:lvlText w:val="%5."/>
      <w:lvlJc w:val="left"/>
      <w:pPr>
        <w:ind w:left="3508" w:hanging="360"/>
      </w:pPr>
    </w:lvl>
    <w:lvl w:ilvl="5" w:tplc="0426001B" w:tentative="1">
      <w:start w:val="1"/>
      <w:numFmt w:val="lowerRoman"/>
      <w:lvlText w:val="%6."/>
      <w:lvlJc w:val="right"/>
      <w:pPr>
        <w:ind w:left="4228" w:hanging="180"/>
      </w:pPr>
    </w:lvl>
    <w:lvl w:ilvl="6" w:tplc="0426000F" w:tentative="1">
      <w:start w:val="1"/>
      <w:numFmt w:val="decimal"/>
      <w:lvlText w:val="%7."/>
      <w:lvlJc w:val="left"/>
      <w:pPr>
        <w:ind w:left="4948" w:hanging="360"/>
      </w:pPr>
    </w:lvl>
    <w:lvl w:ilvl="7" w:tplc="04260019" w:tentative="1">
      <w:start w:val="1"/>
      <w:numFmt w:val="lowerLetter"/>
      <w:lvlText w:val="%8."/>
      <w:lvlJc w:val="left"/>
      <w:pPr>
        <w:ind w:left="5668" w:hanging="360"/>
      </w:pPr>
    </w:lvl>
    <w:lvl w:ilvl="8" w:tplc="0426001B" w:tentative="1">
      <w:start w:val="1"/>
      <w:numFmt w:val="lowerRoman"/>
      <w:lvlText w:val="%9."/>
      <w:lvlJc w:val="right"/>
      <w:pPr>
        <w:ind w:left="6388" w:hanging="180"/>
      </w:pPr>
    </w:lvl>
  </w:abstractNum>
  <w:abstractNum w:abstractNumId="1">
    <w:nsid w:val="36B91222"/>
    <w:multiLevelType w:val="hybridMultilevel"/>
    <w:tmpl w:val="B0BCA1E6"/>
    <w:lvl w:ilvl="0" w:tplc="ECD68F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4AC70429"/>
    <w:multiLevelType w:val="hybridMultilevel"/>
    <w:tmpl w:val="6B6EC412"/>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BB5306C"/>
    <w:multiLevelType w:val="hybridMultilevel"/>
    <w:tmpl w:val="A870483E"/>
    <w:lvl w:ilvl="0" w:tplc="02223560">
      <w:start w:val="1"/>
      <w:numFmt w:val="upperRoman"/>
      <w:lvlText w:val="%1."/>
      <w:lvlJc w:val="left"/>
      <w:pPr>
        <w:ind w:left="840" w:hanging="720"/>
      </w:pPr>
      <w:rPr>
        <w:rFonts w:hint="default"/>
        <w:b/>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4">
    <w:nsid w:val="4CC15C72"/>
    <w:multiLevelType w:val="multilevel"/>
    <w:tmpl w:val="ABDEF318"/>
    <w:lvl w:ilvl="0">
      <w:start w:val="1"/>
      <w:numFmt w:val="decimal"/>
      <w:lvlText w:val="%1."/>
      <w:lvlJc w:val="left"/>
      <w:pPr>
        <w:ind w:left="720" w:hanging="360"/>
      </w:pPr>
      <w:rPr>
        <w:rFonts w:hint="default"/>
      </w:rPr>
    </w:lvl>
    <w:lvl w:ilvl="1">
      <w:start w:val="1"/>
      <w:numFmt w:val="decimal"/>
      <w:isLgl/>
      <w:lvlText w:val="%1.%2."/>
      <w:lvlJc w:val="left"/>
      <w:pPr>
        <w:ind w:left="1141" w:hanging="360"/>
      </w:pPr>
      <w:rPr>
        <w:rFonts w:hint="default"/>
      </w:rPr>
    </w:lvl>
    <w:lvl w:ilvl="2">
      <w:start w:val="1"/>
      <w:numFmt w:val="decimal"/>
      <w:isLgl/>
      <w:lvlText w:val="%1.%2.%3."/>
      <w:lvlJc w:val="left"/>
      <w:pPr>
        <w:ind w:left="1922" w:hanging="720"/>
      </w:pPr>
      <w:rPr>
        <w:rFonts w:hint="default"/>
      </w:rPr>
    </w:lvl>
    <w:lvl w:ilvl="3">
      <w:start w:val="1"/>
      <w:numFmt w:val="decimal"/>
      <w:isLgl/>
      <w:lvlText w:val="%1.%2.%3.%4."/>
      <w:lvlJc w:val="left"/>
      <w:pPr>
        <w:ind w:left="2343" w:hanging="720"/>
      </w:pPr>
      <w:rPr>
        <w:rFonts w:hint="default"/>
      </w:rPr>
    </w:lvl>
    <w:lvl w:ilvl="4">
      <w:start w:val="1"/>
      <w:numFmt w:val="decimal"/>
      <w:isLgl/>
      <w:lvlText w:val="%1.%2.%3.%4.%5."/>
      <w:lvlJc w:val="left"/>
      <w:pPr>
        <w:ind w:left="3124" w:hanging="1080"/>
      </w:pPr>
      <w:rPr>
        <w:rFonts w:hint="default"/>
      </w:rPr>
    </w:lvl>
    <w:lvl w:ilvl="5">
      <w:start w:val="1"/>
      <w:numFmt w:val="decimal"/>
      <w:isLgl/>
      <w:lvlText w:val="%1.%2.%3.%4.%5.%6."/>
      <w:lvlJc w:val="left"/>
      <w:pPr>
        <w:ind w:left="3545" w:hanging="1080"/>
      </w:pPr>
      <w:rPr>
        <w:rFonts w:hint="default"/>
      </w:rPr>
    </w:lvl>
    <w:lvl w:ilvl="6">
      <w:start w:val="1"/>
      <w:numFmt w:val="decimal"/>
      <w:isLgl/>
      <w:lvlText w:val="%1.%2.%3.%4.%5.%6.%7."/>
      <w:lvlJc w:val="left"/>
      <w:pPr>
        <w:ind w:left="4326" w:hanging="1440"/>
      </w:pPr>
      <w:rPr>
        <w:rFonts w:hint="default"/>
      </w:rPr>
    </w:lvl>
    <w:lvl w:ilvl="7">
      <w:start w:val="1"/>
      <w:numFmt w:val="decimal"/>
      <w:isLgl/>
      <w:lvlText w:val="%1.%2.%3.%4.%5.%6.%7.%8."/>
      <w:lvlJc w:val="left"/>
      <w:pPr>
        <w:ind w:left="4747" w:hanging="1440"/>
      </w:pPr>
      <w:rPr>
        <w:rFonts w:hint="default"/>
      </w:rPr>
    </w:lvl>
    <w:lvl w:ilvl="8">
      <w:start w:val="1"/>
      <w:numFmt w:val="decimal"/>
      <w:isLgl/>
      <w:lvlText w:val="%1.%2.%3.%4.%5.%6.%7.%8.%9."/>
      <w:lvlJc w:val="left"/>
      <w:pPr>
        <w:ind w:left="5528" w:hanging="1800"/>
      </w:pPr>
      <w:rPr>
        <w:rFonts w:hint="default"/>
      </w:rPr>
    </w:lvl>
  </w:abstractNum>
  <w:abstractNum w:abstractNumId="5">
    <w:nsid w:val="4DA27C02"/>
    <w:multiLevelType w:val="hybridMultilevel"/>
    <w:tmpl w:val="712647B8"/>
    <w:lvl w:ilvl="0" w:tplc="9C0610B6">
      <w:start w:val="2016"/>
      <w:numFmt w:val="bullet"/>
      <w:lvlText w:val="-"/>
      <w:lvlJc w:val="left"/>
      <w:pPr>
        <w:ind w:left="480" w:hanging="360"/>
      </w:pPr>
      <w:rPr>
        <w:rFonts w:ascii="Times New Roman" w:eastAsiaTheme="minorHAnsi" w:hAnsi="Times New Roman" w:cs="Times New Roman" w:hint="default"/>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6">
    <w:nsid w:val="4F2D2DC1"/>
    <w:multiLevelType w:val="hybridMultilevel"/>
    <w:tmpl w:val="A14C7770"/>
    <w:lvl w:ilvl="0" w:tplc="DD520CFC">
      <w:start w:val="201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6E162279"/>
    <w:multiLevelType w:val="hybridMultilevel"/>
    <w:tmpl w:val="E222DC60"/>
    <w:lvl w:ilvl="0" w:tplc="FC8054B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B302C21"/>
    <w:multiLevelType w:val="hybridMultilevel"/>
    <w:tmpl w:val="F678F6DC"/>
    <w:lvl w:ilvl="0" w:tplc="E2FEB7B6">
      <w:start w:val="1"/>
      <w:numFmt w:val="decimal"/>
      <w:lvlText w:val="%1)"/>
      <w:lvlJc w:val="left"/>
      <w:pPr>
        <w:ind w:left="889" w:hanging="360"/>
      </w:pPr>
      <w:rPr>
        <w:rFonts w:ascii="Times New Roman" w:eastAsiaTheme="minorHAnsi" w:hAnsi="Times New Roman" w:cstheme="minorBidi"/>
      </w:rPr>
    </w:lvl>
    <w:lvl w:ilvl="1" w:tplc="04260019" w:tentative="1">
      <w:start w:val="1"/>
      <w:numFmt w:val="lowerLetter"/>
      <w:lvlText w:val="%2."/>
      <w:lvlJc w:val="left"/>
      <w:pPr>
        <w:ind w:left="1609" w:hanging="360"/>
      </w:pPr>
    </w:lvl>
    <w:lvl w:ilvl="2" w:tplc="0426001B" w:tentative="1">
      <w:start w:val="1"/>
      <w:numFmt w:val="lowerRoman"/>
      <w:lvlText w:val="%3."/>
      <w:lvlJc w:val="right"/>
      <w:pPr>
        <w:ind w:left="2329" w:hanging="180"/>
      </w:pPr>
    </w:lvl>
    <w:lvl w:ilvl="3" w:tplc="0426000F" w:tentative="1">
      <w:start w:val="1"/>
      <w:numFmt w:val="decimal"/>
      <w:lvlText w:val="%4."/>
      <w:lvlJc w:val="left"/>
      <w:pPr>
        <w:ind w:left="3049" w:hanging="360"/>
      </w:pPr>
    </w:lvl>
    <w:lvl w:ilvl="4" w:tplc="04260019" w:tentative="1">
      <w:start w:val="1"/>
      <w:numFmt w:val="lowerLetter"/>
      <w:lvlText w:val="%5."/>
      <w:lvlJc w:val="left"/>
      <w:pPr>
        <w:ind w:left="3769" w:hanging="360"/>
      </w:pPr>
    </w:lvl>
    <w:lvl w:ilvl="5" w:tplc="0426001B" w:tentative="1">
      <w:start w:val="1"/>
      <w:numFmt w:val="lowerRoman"/>
      <w:lvlText w:val="%6."/>
      <w:lvlJc w:val="right"/>
      <w:pPr>
        <w:ind w:left="4489" w:hanging="180"/>
      </w:pPr>
    </w:lvl>
    <w:lvl w:ilvl="6" w:tplc="0426000F" w:tentative="1">
      <w:start w:val="1"/>
      <w:numFmt w:val="decimal"/>
      <w:lvlText w:val="%7."/>
      <w:lvlJc w:val="left"/>
      <w:pPr>
        <w:ind w:left="5209" w:hanging="360"/>
      </w:pPr>
    </w:lvl>
    <w:lvl w:ilvl="7" w:tplc="04260019" w:tentative="1">
      <w:start w:val="1"/>
      <w:numFmt w:val="lowerLetter"/>
      <w:lvlText w:val="%8."/>
      <w:lvlJc w:val="left"/>
      <w:pPr>
        <w:ind w:left="5929" w:hanging="360"/>
      </w:pPr>
    </w:lvl>
    <w:lvl w:ilvl="8" w:tplc="0426001B" w:tentative="1">
      <w:start w:val="1"/>
      <w:numFmt w:val="lowerRoman"/>
      <w:lvlText w:val="%9."/>
      <w:lvlJc w:val="right"/>
      <w:pPr>
        <w:ind w:left="6649" w:hanging="180"/>
      </w:pPr>
    </w:lvl>
  </w:abstractNum>
  <w:num w:numId="1">
    <w:abstractNumId w:val="1"/>
  </w:num>
  <w:num w:numId="2">
    <w:abstractNumId w:val="3"/>
  </w:num>
  <w:num w:numId="3">
    <w:abstractNumId w:val="2"/>
  </w:num>
  <w:num w:numId="4">
    <w:abstractNumId w:val="7"/>
  </w:num>
  <w:num w:numId="5">
    <w:abstractNumId w:val="4"/>
  </w:num>
  <w:num w:numId="6">
    <w:abstractNumId w:val="8"/>
  </w:num>
  <w:num w:numId="7">
    <w:abstractNumId w:val="0"/>
  </w:num>
  <w:num w:numId="8">
    <w:abstractNumId w:val="6"/>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taps Vīksne (BD)">
    <w15:presenceInfo w15:providerId="None" w15:userId="Kristaps Vīksne (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rawingGridVerticalSpacing w:val="381"/>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6D"/>
    <w:rsid w:val="0000031D"/>
    <w:rsid w:val="0000317F"/>
    <w:rsid w:val="000035CB"/>
    <w:rsid w:val="000038C3"/>
    <w:rsid w:val="00003AA7"/>
    <w:rsid w:val="000042C8"/>
    <w:rsid w:val="000044FB"/>
    <w:rsid w:val="00004F5C"/>
    <w:rsid w:val="00005352"/>
    <w:rsid w:val="00006418"/>
    <w:rsid w:val="0001298E"/>
    <w:rsid w:val="00013474"/>
    <w:rsid w:val="000145DE"/>
    <w:rsid w:val="00014D32"/>
    <w:rsid w:val="00017AAA"/>
    <w:rsid w:val="00017E1C"/>
    <w:rsid w:val="00020DEF"/>
    <w:rsid w:val="000219C9"/>
    <w:rsid w:val="00022660"/>
    <w:rsid w:val="0002348E"/>
    <w:rsid w:val="00026F6C"/>
    <w:rsid w:val="00041BC5"/>
    <w:rsid w:val="00046648"/>
    <w:rsid w:val="00046ADB"/>
    <w:rsid w:val="00051A8F"/>
    <w:rsid w:val="00053D7F"/>
    <w:rsid w:val="00054559"/>
    <w:rsid w:val="00054C53"/>
    <w:rsid w:val="000558C0"/>
    <w:rsid w:val="00060255"/>
    <w:rsid w:val="000608D1"/>
    <w:rsid w:val="00062334"/>
    <w:rsid w:val="0007283C"/>
    <w:rsid w:val="00072DC7"/>
    <w:rsid w:val="00074A1E"/>
    <w:rsid w:val="00076B41"/>
    <w:rsid w:val="00087D31"/>
    <w:rsid w:val="00087F0C"/>
    <w:rsid w:val="00090F7C"/>
    <w:rsid w:val="00093820"/>
    <w:rsid w:val="00095D9F"/>
    <w:rsid w:val="000A03AD"/>
    <w:rsid w:val="000A16FE"/>
    <w:rsid w:val="000A1EBA"/>
    <w:rsid w:val="000A3048"/>
    <w:rsid w:val="000A3D41"/>
    <w:rsid w:val="000B39E7"/>
    <w:rsid w:val="000B3C16"/>
    <w:rsid w:val="000B52E8"/>
    <w:rsid w:val="000B653D"/>
    <w:rsid w:val="000C1004"/>
    <w:rsid w:val="000C25CE"/>
    <w:rsid w:val="000C39BE"/>
    <w:rsid w:val="000C4DF9"/>
    <w:rsid w:val="000D05EB"/>
    <w:rsid w:val="000D08B5"/>
    <w:rsid w:val="000D3D6E"/>
    <w:rsid w:val="000E0E9C"/>
    <w:rsid w:val="000E0EAB"/>
    <w:rsid w:val="000E4D67"/>
    <w:rsid w:val="000E6302"/>
    <w:rsid w:val="000F0666"/>
    <w:rsid w:val="000F2D60"/>
    <w:rsid w:val="000F5E0E"/>
    <w:rsid w:val="00100469"/>
    <w:rsid w:val="00101BF2"/>
    <w:rsid w:val="00103F79"/>
    <w:rsid w:val="00115E82"/>
    <w:rsid w:val="0012014A"/>
    <w:rsid w:val="00122717"/>
    <w:rsid w:val="00124BE5"/>
    <w:rsid w:val="0012536F"/>
    <w:rsid w:val="00130A65"/>
    <w:rsid w:val="00131852"/>
    <w:rsid w:val="00131E15"/>
    <w:rsid w:val="00132ECA"/>
    <w:rsid w:val="00133FC3"/>
    <w:rsid w:val="001373D3"/>
    <w:rsid w:val="0014131D"/>
    <w:rsid w:val="00142743"/>
    <w:rsid w:val="00143A5E"/>
    <w:rsid w:val="0014438B"/>
    <w:rsid w:val="00150939"/>
    <w:rsid w:val="00150994"/>
    <w:rsid w:val="00152376"/>
    <w:rsid w:val="001544B1"/>
    <w:rsid w:val="001551D4"/>
    <w:rsid w:val="0015634F"/>
    <w:rsid w:val="00161D6A"/>
    <w:rsid w:val="0016244A"/>
    <w:rsid w:val="00163FE2"/>
    <w:rsid w:val="00167994"/>
    <w:rsid w:val="00170A5E"/>
    <w:rsid w:val="00171EE7"/>
    <w:rsid w:val="00174D79"/>
    <w:rsid w:val="00182716"/>
    <w:rsid w:val="0018303A"/>
    <w:rsid w:val="00184225"/>
    <w:rsid w:val="0018668D"/>
    <w:rsid w:val="0018679A"/>
    <w:rsid w:val="00192B03"/>
    <w:rsid w:val="00193E01"/>
    <w:rsid w:val="001946F1"/>
    <w:rsid w:val="001951C5"/>
    <w:rsid w:val="001952CE"/>
    <w:rsid w:val="00195D19"/>
    <w:rsid w:val="00197B40"/>
    <w:rsid w:val="001A1C0A"/>
    <w:rsid w:val="001A5D75"/>
    <w:rsid w:val="001A7971"/>
    <w:rsid w:val="001B0B9B"/>
    <w:rsid w:val="001B1E3E"/>
    <w:rsid w:val="001C2CD5"/>
    <w:rsid w:val="001C3291"/>
    <w:rsid w:val="001C4146"/>
    <w:rsid w:val="001C519F"/>
    <w:rsid w:val="001D0571"/>
    <w:rsid w:val="001D17C6"/>
    <w:rsid w:val="001D2B26"/>
    <w:rsid w:val="001D5678"/>
    <w:rsid w:val="001D7728"/>
    <w:rsid w:val="001D7B24"/>
    <w:rsid w:val="001E1202"/>
    <w:rsid w:val="001E5F21"/>
    <w:rsid w:val="001E6561"/>
    <w:rsid w:val="001E75A3"/>
    <w:rsid w:val="001F56FF"/>
    <w:rsid w:val="00200731"/>
    <w:rsid w:val="00200C8A"/>
    <w:rsid w:val="00201FE1"/>
    <w:rsid w:val="00202324"/>
    <w:rsid w:val="00203F69"/>
    <w:rsid w:val="0020506E"/>
    <w:rsid w:val="00216F53"/>
    <w:rsid w:val="002176AD"/>
    <w:rsid w:val="00222330"/>
    <w:rsid w:val="0022662C"/>
    <w:rsid w:val="00227194"/>
    <w:rsid w:val="002302E5"/>
    <w:rsid w:val="00230D49"/>
    <w:rsid w:val="00232BA7"/>
    <w:rsid w:val="002364B3"/>
    <w:rsid w:val="0023657A"/>
    <w:rsid w:val="00237CE7"/>
    <w:rsid w:val="002424D8"/>
    <w:rsid w:val="002460DD"/>
    <w:rsid w:val="00246113"/>
    <w:rsid w:val="0024678C"/>
    <w:rsid w:val="002502B6"/>
    <w:rsid w:val="00250856"/>
    <w:rsid w:val="00256191"/>
    <w:rsid w:val="002570D6"/>
    <w:rsid w:val="002577A1"/>
    <w:rsid w:val="0026659A"/>
    <w:rsid w:val="00266D26"/>
    <w:rsid w:val="0026757D"/>
    <w:rsid w:val="00267D9E"/>
    <w:rsid w:val="002705B5"/>
    <w:rsid w:val="0027097A"/>
    <w:rsid w:val="0027277F"/>
    <w:rsid w:val="002727AD"/>
    <w:rsid w:val="00275DF0"/>
    <w:rsid w:val="00275FD8"/>
    <w:rsid w:val="002805B1"/>
    <w:rsid w:val="002816F8"/>
    <w:rsid w:val="002842DF"/>
    <w:rsid w:val="00286673"/>
    <w:rsid w:val="00290A28"/>
    <w:rsid w:val="00291881"/>
    <w:rsid w:val="00292912"/>
    <w:rsid w:val="0029401F"/>
    <w:rsid w:val="002A09D6"/>
    <w:rsid w:val="002A18B1"/>
    <w:rsid w:val="002A2506"/>
    <w:rsid w:val="002A2997"/>
    <w:rsid w:val="002A3DAE"/>
    <w:rsid w:val="002A429F"/>
    <w:rsid w:val="002A46CC"/>
    <w:rsid w:val="002B1D44"/>
    <w:rsid w:val="002B33E3"/>
    <w:rsid w:val="002B368B"/>
    <w:rsid w:val="002B5BA9"/>
    <w:rsid w:val="002C0414"/>
    <w:rsid w:val="002C37E6"/>
    <w:rsid w:val="002C49F7"/>
    <w:rsid w:val="002D23CC"/>
    <w:rsid w:val="002D37D1"/>
    <w:rsid w:val="002D7459"/>
    <w:rsid w:val="002E69E7"/>
    <w:rsid w:val="002F0327"/>
    <w:rsid w:val="002F14AD"/>
    <w:rsid w:val="002F3527"/>
    <w:rsid w:val="002F3A46"/>
    <w:rsid w:val="002F5E8B"/>
    <w:rsid w:val="002F7FE7"/>
    <w:rsid w:val="0030223A"/>
    <w:rsid w:val="00303583"/>
    <w:rsid w:val="00303E69"/>
    <w:rsid w:val="003050B9"/>
    <w:rsid w:val="00307B0B"/>
    <w:rsid w:val="003104AB"/>
    <w:rsid w:val="00312AA6"/>
    <w:rsid w:val="003243DA"/>
    <w:rsid w:val="003244A1"/>
    <w:rsid w:val="00324680"/>
    <w:rsid w:val="00325024"/>
    <w:rsid w:val="00325216"/>
    <w:rsid w:val="00330293"/>
    <w:rsid w:val="003339A6"/>
    <w:rsid w:val="0033713C"/>
    <w:rsid w:val="00342319"/>
    <w:rsid w:val="0034293C"/>
    <w:rsid w:val="00342CDC"/>
    <w:rsid w:val="003443BF"/>
    <w:rsid w:val="0035017E"/>
    <w:rsid w:val="003539EF"/>
    <w:rsid w:val="0035647F"/>
    <w:rsid w:val="00356748"/>
    <w:rsid w:val="00360180"/>
    <w:rsid w:val="003608AD"/>
    <w:rsid w:val="0036096D"/>
    <w:rsid w:val="00360CEA"/>
    <w:rsid w:val="00361901"/>
    <w:rsid w:val="00362E77"/>
    <w:rsid w:val="003637EA"/>
    <w:rsid w:val="00366C1A"/>
    <w:rsid w:val="003671E2"/>
    <w:rsid w:val="003729C7"/>
    <w:rsid w:val="003760E3"/>
    <w:rsid w:val="00377F94"/>
    <w:rsid w:val="00381099"/>
    <w:rsid w:val="0038351B"/>
    <w:rsid w:val="0038376D"/>
    <w:rsid w:val="00385736"/>
    <w:rsid w:val="003941B7"/>
    <w:rsid w:val="0039636F"/>
    <w:rsid w:val="003A188D"/>
    <w:rsid w:val="003A59AD"/>
    <w:rsid w:val="003B20FD"/>
    <w:rsid w:val="003B32D5"/>
    <w:rsid w:val="003B544A"/>
    <w:rsid w:val="003B71D3"/>
    <w:rsid w:val="003B7D1C"/>
    <w:rsid w:val="003C1C1C"/>
    <w:rsid w:val="003C3F4F"/>
    <w:rsid w:val="003C5CEA"/>
    <w:rsid w:val="003C7172"/>
    <w:rsid w:val="003D2575"/>
    <w:rsid w:val="003D2AE1"/>
    <w:rsid w:val="003D47B9"/>
    <w:rsid w:val="003D6E2F"/>
    <w:rsid w:val="003D7A7B"/>
    <w:rsid w:val="003E333B"/>
    <w:rsid w:val="003E5B86"/>
    <w:rsid w:val="003E67CA"/>
    <w:rsid w:val="003F0215"/>
    <w:rsid w:val="003F2463"/>
    <w:rsid w:val="003F29C4"/>
    <w:rsid w:val="003F521B"/>
    <w:rsid w:val="004027CE"/>
    <w:rsid w:val="00403566"/>
    <w:rsid w:val="00404A9F"/>
    <w:rsid w:val="0040531B"/>
    <w:rsid w:val="00406416"/>
    <w:rsid w:val="00406D73"/>
    <w:rsid w:val="00410BEB"/>
    <w:rsid w:val="00411A2F"/>
    <w:rsid w:val="00411BC0"/>
    <w:rsid w:val="004124FD"/>
    <w:rsid w:val="004125EE"/>
    <w:rsid w:val="00417CCF"/>
    <w:rsid w:val="0042009D"/>
    <w:rsid w:val="00422671"/>
    <w:rsid w:val="00423F30"/>
    <w:rsid w:val="004250B6"/>
    <w:rsid w:val="00425672"/>
    <w:rsid w:val="004269B0"/>
    <w:rsid w:val="00431480"/>
    <w:rsid w:val="00433768"/>
    <w:rsid w:val="00434867"/>
    <w:rsid w:val="004368AE"/>
    <w:rsid w:val="00437848"/>
    <w:rsid w:val="004408BD"/>
    <w:rsid w:val="00441AC3"/>
    <w:rsid w:val="004427A4"/>
    <w:rsid w:val="00442BC8"/>
    <w:rsid w:val="00443571"/>
    <w:rsid w:val="00444C23"/>
    <w:rsid w:val="004454AD"/>
    <w:rsid w:val="00445CF1"/>
    <w:rsid w:val="0044601F"/>
    <w:rsid w:val="00450B86"/>
    <w:rsid w:val="00451EFD"/>
    <w:rsid w:val="00457159"/>
    <w:rsid w:val="0046430C"/>
    <w:rsid w:val="00464608"/>
    <w:rsid w:val="00465DA1"/>
    <w:rsid w:val="00466B74"/>
    <w:rsid w:val="004704D8"/>
    <w:rsid w:val="00472A11"/>
    <w:rsid w:val="00473FED"/>
    <w:rsid w:val="0047498B"/>
    <w:rsid w:val="00475E26"/>
    <w:rsid w:val="004776F2"/>
    <w:rsid w:val="004807EA"/>
    <w:rsid w:val="00481D6E"/>
    <w:rsid w:val="00484512"/>
    <w:rsid w:val="00490198"/>
    <w:rsid w:val="0049457B"/>
    <w:rsid w:val="00496A52"/>
    <w:rsid w:val="00496E1C"/>
    <w:rsid w:val="00496F77"/>
    <w:rsid w:val="00497C85"/>
    <w:rsid w:val="004A783D"/>
    <w:rsid w:val="004A7AFE"/>
    <w:rsid w:val="004B3295"/>
    <w:rsid w:val="004B4BE7"/>
    <w:rsid w:val="004B51FC"/>
    <w:rsid w:val="004C0984"/>
    <w:rsid w:val="004C6FE9"/>
    <w:rsid w:val="004D012C"/>
    <w:rsid w:val="004D1443"/>
    <w:rsid w:val="004D1FD8"/>
    <w:rsid w:val="004D2624"/>
    <w:rsid w:val="004E0339"/>
    <w:rsid w:val="004E3EA8"/>
    <w:rsid w:val="004E49D7"/>
    <w:rsid w:val="004E63DA"/>
    <w:rsid w:val="004F1C81"/>
    <w:rsid w:val="004F400E"/>
    <w:rsid w:val="004F40F9"/>
    <w:rsid w:val="004F4590"/>
    <w:rsid w:val="004F6E25"/>
    <w:rsid w:val="004F7055"/>
    <w:rsid w:val="004F7DC8"/>
    <w:rsid w:val="00501105"/>
    <w:rsid w:val="00501DD9"/>
    <w:rsid w:val="005106E8"/>
    <w:rsid w:val="00510B9D"/>
    <w:rsid w:val="005137B0"/>
    <w:rsid w:val="005217A4"/>
    <w:rsid w:val="005219E9"/>
    <w:rsid w:val="00523728"/>
    <w:rsid w:val="00524111"/>
    <w:rsid w:val="00524E95"/>
    <w:rsid w:val="00533871"/>
    <w:rsid w:val="00542B50"/>
    <w:rsid w:val="005438E9"/>
    <w:rsid w:val="005500B1"/>
    <w:rsid w:val="0055124D"/>
    <w:rsid w:val="00551AFE"/>
    <w:rsid w:val="005527C7"/>
    <w:rsid w:val="00554EFE"/>
    <w:rsid w:val="0055511C"/>
    <w:rsid w:val="0056019C"/>
    <w:rsid w:val="005631DF"/>
    <w:rsid w:val="00563B54"/>
    <w:rsid w:val="00563CED"/>
    <w:rsid w:val="005656B2"/>
    <w:rsid w:val="005657D6"/>
    <w:rsid w:val="00565E76"/>
    <w:rsid w:val="00566793"/>
    <w:rsid w:val="005668B0"/>
    <w:rsid w:val="00566B9C"/>
    <w:rsid w:val="00566FC5"/>
    <w:rsid w:val="00570E1F"/>
    <w:rsid w:val="00573D7A"/>
    <w:rsid w:val="00574AB3"/>
    <w:rsid w:val="0057577F"/>
    <w:rsid w:val="00576D75"/>
    <w:rsid w:val="00580FFB"/>
    <w:rsid w:val="00585F3A"/>
    <w:rsid w:val="00587A45"/>
    <w:rsid w:val="005912E0"/>
    <w:rsid w:val="005918A7"/>
    <w:rsid w:val="00592728"/>
    <w:rsid w:val="005951DA"/>
    <w:rsid w:val="00595AFA"/>
    <w:rsid w:val="00596CDE"/>
    <w:rsid w:val="00597875"/>
    <w:rsid w:val="005A3AC5"/>
    <w:rsid w:val="005A3AEA"/>
    <w:rsid w:val="005A4DBB"/>
    <w:rsid w:val="005A74FF"/>
    <w:rsid w:val="005A7E8D"/>
    <w:rsid w:val="005B01E8"/>
    <w:rsid w:val="005B5AA6"/>
    <w:rsid w:val="005B61EB"/>
    <w:rsid w:val="005B7B1F"/>
    <w:rsid w:val="005C37C2"/>
    <w:rsid w:val="005C4B5A"/>
    <w:rsid w:val="005C6A54"/>
    <w:rsid w:val="005D40D7"/>
    <w:rsid w:val="005D428D"/>
    <w:rsid w:val="005D466E"/>
    <w:rsid w:val="005D47F4"/>
    <w:rsid w:val="005D695A"/>
    <w:rsid w:val="005E039A"/>
    <w:rsid w:val="005E3D57"/>
    <w:rsid w:val="005F2843"/>
    <w:rsid w:val="005F389A"/>
    <w:rsid w:val="00602CCC"/>
    <w:rsid w:val="00603159"/>
    <w:rsid w:val="00603C61"/>
    <w:rsid w:val="006044A8"/>
    <w:rsid w:val="00605A33"/>
    <w:rsid w:val="00606A4B"/>
    <w:rsid w:val="00611243"/>
    <w:rsid w:val="0061334F"/>
    <w:rsid w:val="00613BF4"/>
    <w:rsid w:val="006214CF"/>
    <w:rsid w:val="00627B2A"/>
    <w:rsid w:val="00634950"/>
    <w:rsid w:val="00643A1F"/>
    <w:rsid w:val="006455CB"/>
    <w:rsid w:val="00645E21"/>
    <w:rsid w:val="0064669A"/>
    <w:rsid w:val="00647E83"/>
    <w:rsid w:val="006502C4"/>
    <w:rsid w:val="00651282"/>
    <w:rsid w:val="00653D0C"/>
    <w:rsid w:val="00654CF6"/>
    <w:rsid w:val="006551CD"/>
    <w:rsid w:val="0066496D"/>
    <w:rsid w:val="00665CE0"/>
    <w:rsid w:val="00672F44"/>
    <w:rsid w:val="00672F87"/>
    <w:rsid w:val="006735D0"/>
    <w:rsid w:val="00674A47"/>
    <w:rsid w:val="00675607"/>
    <w:rsid w:val="0068087C"/>
    <w:rsid w:val="00684105"/>
    <w:rsid w:val="00686055"/>
    <w:rsid w:val="00686536"/>
    <w:rsid w:val="00690158"/>
    <w:rsid w:val="006906B4"/>
    <w:rsid w:val="0069205F"/>
    <w:rsid w:val="006935D1"/>
    <w:rsid w:val="00693B48"/>
    <w:rsid w:val="00695DDB"/>
    <w:rsid w:val="006978CF"/>
    <w:rsid w:val="006A005C"/>
    <w:rsid w:val="006A0D1B"/>
    <w:rsid w:val="006A3B3E"/>
    <w:rsid w:val="006B201C"/>
    <w:rsid w:val="006B3E2A"/>
    <w:rsid w:val="006B7A79"/>
    <w:rsid w:val="006C0E9A"/>
    <w:rsid w:val="006C1138"/>
    <w:rsid w:val="006C1B3A"/>
    <w:rsid w:val="006C2142"/>
    <w:rsid w:val="006C5BC2"/>
    <w:rsid w:val="006C60FA"/>
    <w:rsid w:val="006C6336"/>
    <w:rsid w:val="006D0D20"/>
    <w:rsid w:val="006D3764"/>
    <w:rsid w:val="006D75C7"/>
    <w:rsid w:val="006E0584"/>
    <w:rsid w:val="006E0C4B"/>
    <w:rsid w:val="006E101C"/>
    <w:rsid w:val="006E1A22"/>
    <w:rsid w:val="006E1FEE"/>
    <w:rsid w:val="006E3186"/>
    <w:rsid w:val="006E6796"/>
    <w:rsid w:val="006F0468"/>
    <w:rsid w:val="006F07B8"/>
    <w:rsid w:val="006F2907"/>
    <w:rsid w:val="006F3E87"/>
    <w:rsid w:val="006F4A10"/>
    <w:rsid w:val="006F6A48"/>
    <w:rsid w:val="006F6E31"/>
    <w:rsid w:val="006F716F"/>
    <w:rsid w:val="00701DC5"/>
    <w:rsid w:val="007022B9"/>
    <w:rsid w:val="00702576"/>
    <w:rsid w:val="00702BF0"/>
    <w:rsid w:val="00703BA7"/>
    <w:rsid w:val="0070526D"/>
    <w:rsid w:val="00711492"/>
    <w:rsid w:val="00711F5C"/>
    <w:rsid w:val="007131A5"/>
    <w:rsid w:val="0071489C"/>
    <w:rsid w:val="00716D7C"/>
    <w:rsid w:val="0072009F"/>
    <w:rsid w:val="007200A6"/>
    <w:rsid w:val="00724190"/>
    <w:rsid w:val="00725501"/>
    <w:rsid w:val="00726380"/>
    <w:rsid w:val="00730771"/>
    <w:rsid w:val="00733739"/>
    <w:rsid w:val="00735651"/>
    <w:rsid w:val="0073757A"/>
    <w:rsid w:val="00750D07"/>
    <w:rsid w:val="00751650"/>
    <w:rsid w:val="00751D20"/>
    <w:rsid w:val="00753410"/>
    <w:rsid w:val="007553A8"/>
    <w:rsid w:val="00755E5F"/>
    <w:rsid w:val="00757367"/>
    <w:rsid w:val="00760C6B"/>
    <w:rsid w:val="00763466"/>
    <w:rsid w:val="00765723"/>
    <w:rsid w:val="007662CD"/>
    <w:rsid w:val="007740F2"/>
    <w:rsid w:val="007745A6"/>
    <w:rsid w:val="007756E5"/>
    <w:rsid w:val="00775B9B"/>
    <w:rsid w:val="00776CCD"/>
    <w:rsid w:val="0078057E"/>
    <w:rsid w:val="007831DC"/>
    <w:rsid w:val="007841C0"/>
    <w:rsid w:val="007844C5"/>
    <w:rsid w:val="0078510C"/>
    <w:rsid w:val="00785CF6"/>
    <w:rsid w:val="007862F1"/>
    <w:rsid w:val="00786509"/>
    <w:rsid w:val="0079382E"/>
    <w:rsid w:val="00793890"/>
    <w:rsid w:val="00796CCD"/>
    <w:rsid w:val="007A4CA0"/>
    <w:rsid w:val="007A5B2F"/>
    <w:rsid w:val="007B2EEC"/>
    <w:rsid w:val="007B5773"/>
    <w:rsid w:val="007B5ACE"/>
    <w:rsid w:val="007B649C"/>
    <w:rsid w:val="007C151E"/>
    <w:rsid w:val="007C4D8F"/>
    <w:rsid w:val="007C58B2"/>
    <w:rsid w:val="007C655C"/>
    <w:rsid w:val="007D37B3"/>
    <w:rsid w:val="007D4F27"/>
    <w:rsid w:val="007D791F"/>
    <w:rsid w:val="007E1438"/>
    <w:rsid w:val="007E241A"/>
    <w:rsid w:val="007E26D2"/>
    <w:rsid w:val="007E28F5"/>
    <w:rsid w:val="007E6B54"/>
    <w:rsid w:val="007E747F"/>
    <w:rsid w:val="007F1998"/>
    <w:rsid w:val="007F1CFD"/>
    <w:rsid w:val="007F2E94"/>
    <w:rsid w:val="007F3204"/>
    <w:rsid w:val="007F3AEE"/>
    <w:rsid w:val="007F3F45"/>
    <w:rsid w:val="007F7DFB"/>
    <w:rsid w:val="008007E1"/>
    <w:rsid w:val="00803914"/>
    <w:rsid w:val="00803D65"/>
    <w:rsid w:val="00804892"/>
    <w:rsid w:val="00804EB8"/>
    <w:rsid w:val="00805DBC"/>
    <w:rsid w:val="00806404"/>
    <w:rsid w:val="00807539"/>
    <w:rsid w:val="00810F9F"/>
    <w:rsid w:val="0081258E"/>
    <w:rsid w:val="008138A9"/>
    <w:rsid w:val="00814AE1"/>
    <w:rsid w:val="0082071F"/>
    <w:rsid w:val="008260B5"/>
    <w:rsid w:val="00826821"/>
    <w:rsid w:val="008304F2"/>
    <w:rsid w:val="00832579"/>
    <w:rsid w:val="00835068"/>
    <w:rsid w:val="00835802"/>
    <w:rsid w:val="008442FB"/>
    <w:rsid w:val="00851D90"/>
    <w:rsid w:val="00852CD2"/>
    <w:rsid w:val="00855C98"/>
    <w:rsid w:val="00861512"/>
    <w:rsid w:val="00862EB1"/>
    <w:rsid w:val="00864570"/>
    <w:rsid w:val="00864869"/>
    <w:rsid w:val="0086518F"/>
    <w:rsid w:val="00867E1D"/>
    <w:rsid w:val="008738FA"/>
    <w:rsid w:val="00877908"/>
    <w:rsid w:val="00877A89"/>
    <w:rsid w:val="0088044F"/>
    <w:rsid w:val="0088217B"/>
    <w:rsid w:val="0089165D"/>
    <w:rsid w:val="00896087"/>
    <w:rsid w:val="0089697E"/>
    <w:rsid w:val="008A06DF"/>
    <w:rsid w:val="008A1796"/>
    <w:rsid w:val="008A59AE"/>
    <w:rsid w:val="008A7A42"/>
    <w:rsid w:val="008B1D2E"/>
    <w:rsid w:val="008B2AC9"/>
    <w:rsid w:val="008B3CD1"/>
    <w:rsid w:val="008B7114"/>
    <w:rsid w:val="008B730E"/>
    <w:rsid w:val="008C1196"/>
    <w:rsid w:val="008C14A5"/>
    <w:rsid w:val="008C160B"/>
    <w:rsid w:val="008C1EF1"/>
    <w:rsid w:val="008C2E53"/>
    <w:rsid w:val="008C2F4F"/>
    <w:rsid w:val="008C4091"/>
    <w:rsid w:val="008C6C7D"/>
    <w:rsid w:val="008D01F8"/>
    <w:rsid w:val="008D11BA"/>
    <w:rsid w:val="008D28C7"/>
    <w:rsid w:val="008D33D9"/>
    <w:rsid w:val="008D5368"/>
    <w:rsid w:val="008D545A"/>
    <w:rsid w:val="008D6D26"/>
    <w:rsid w:val="008D76BC"/>
    <w:rsid w:val="008E127B"/>
    <w:rsid w:val="008E5289"/>
    <w:rsid w:val="008E6AFB"/>
    <w:rsid w:val="008E74E0"/>
    <w:rsid w:val="008F0B2E"/>
    <w:rsid w:val="008F7BEC"/>
    <w:rsid w:val="00901616"/>
    <w:rsid w:val="00901ACE"/>
    <w:rsid w:val="00901E0A"/>
    <w:rsid w:val="009039D8"/>
    <w:rsid w:val="00903F74"/>
    <w:rsid w:val="009052B2"/>
    <w:rsid w:val="00914A3B"/>
    <w:rsid w:val="00915A93"/>
    <w:rsid w:val="00915FA9"/>
    <w:rsid w:val="00921B9C"/>
    <w:rsid w:val="009223C4"/>
    <w:rsid w:val="00923883"/>
    <w:rsid w:val="00923FDF"/>
    <w:rsid w:val="00924012"/>
    <w:rsid w:val="009267DF"/>
    <w:rsid w:val="00927926"/>
    <w:rsid w:val="00931F57"/>
    <w:rsid w:val="0093409E"/>
    <w:rsid w:val="00935378"/>
    <w:rsid w:val="00942FB1"/>
    <w:rsid w:val="00945255"/>
    <w:rsid w:val="00953466"/>
    <w:rsid w:val="00954E14"/>
    <w:rsid w:val="00955248"/>
    <w:rsid w:val="00956731"/>
    <w:rsid w:val="00957AFB"/>
    <w:rsid w:val="00963B7D"/>
    <w:rsid w:val="00967B6B"/>
    <w:rsid w:val="00970036"/>
    <w:rsid w:val="00970916"/>
    <w:rsid w:val="009732EF"/>
    <w:rsid w:val="00975747"/>
    <w:rsid w:val="0097630A"/>
    <w:rsid w:val="00976F27"/>
    <w:rsid w:val="009804AB"/>
    <w:rsid w:val="0098081C"/>
    <w:rsid w:val="009821C9"/>
    <w:rsid w:val="00983E53"/>
    <w:rsid w:val="009927C3"/>
    <w:rsid w:val="009933EB"/>
    <w:rsid w:val="0099586B"/>
    <w:rsid w:val="00995B35"/>
    <w:rsid w:val="009A5BF0"/>
    <w:rsid w:val="009B236A"/>
    <w:rsid w:val="009B42FC"/>
    <w:rsid w:val="009B4C0B"/>
    <w:rsid w:val="009B4DC9"/>
    <w:rsid w:val="009B73F8"/>
    <w:rsid w:val="009C430B"/>
    <w:rsid w:val="009C6BC3"/>
    <w:rsid w:val="009C7CB7"/>
    <w:rsid w:val="009D0419"/>
    <w:rsid w:val="009D6228"/>
    <w:rsid w:val="009E0BF5"/>
    <w:rsid w:val="009E20C8"/>
    <w:rsid w:val="009E3154"/>
    <w:rsid w:val="009E423D"/>
    <w:rsid w:val="009E5B7F"/>
    <w:rsid w:val="009E615A"/>
    <w:rsid w:val="009F111C"/>
    <w:rsid w:val="009F1C8A"/>
    <w:rsid w:val="009F2004"/>
    <w:rsid w:val="009F2BAE"/>
    <w:rsid w:val="009F47D1"/>
    <w:rsid w:val="009F49A6"/>
    <w:rsid w:val="009F5EF4"/>
    <w:rsid w:val="009F6CDC"/>
    <w:rsid w:val="009F71E7"/>
    <w:rsid w:val="00A00EF9"/>
    <w:rsid w:val="00A02AEE"/>
    <w:rsid w:val="00A046DC"/>
    <w:rsid w:val="00A0505B"/>
    <w:rsid w:val="00A14139"/>
    <w:rsid w:val="00A14D99"/>
    <w:rsid w:val="00A16888"/>
    <w:rsid w:val="00A16B49"/>
    <w:rsid w:val="00A2149E"/>
    <w:rsid w:val="00A226AC"/>
    <w:rsid w:val="00A2792C"/>
    <w:rsid w:val="00A27D1D"/>
    <w:rsid w:val="00A31194"/>
    <w:rsid w:val="00A36939"/>
    <w:rsid w:val="00A4048B"/>
    <w:rsid w:val="00A43482"/>
    <w:rsid w:val="00A452AA"/>
    <w:rsid w:val="00A4602F"/>
    <w:rsid w:val="00A53B29"/>
    <w:rsid w:val="00A546D2"/>
    <w:rsid w:val="00A5592E"/>
    <w:rsid w:val="00A560F3"/>
    <w:rsid w:val="00A57675"/>
    <w:rsid w:val="00A57A47"/>
    <w:rsid w:val="00A63E47"/>
    <w:rsid w:val="00A65E4D"/>
    <w:rsid w:val="00A6731B"/>
    <w:rsid w:val="00A67AA5"/>
    <w:rsid w:val="00A70C5A"/>
    <w:rsid w:val="00A75A00"/>
    <w:rsid w:val="00A84623"/>
    <w:rsid w:val="00A87936"/>
    <w:rsid w:val="00A90CCA"/>
    <w:rsid w:val="00A923DC"/>
    <w:rsid w:val="00A94684"/>
    <w:rsid w:val="00A94EB9"/>
    <w:rsid w:val="00A956FE"/>
    <w:rsid w:val="00A976A4"/>
    <w:rsid w:val="00AA094C"/>
    <w:rsid w:val="00AA160E"/>
    <w:rsid w:val="00AA2299"/>
    <w:rsid w:val="00AA4622"/>
    <w:rsid w:val="00AB07BD"/>
    <w:rsid w:val="00AB20BE"/>
    <w:rsid w:val="00AB3B79"/>
    <w:rsid w:val="00AB3CBF"/>
    <w:rsid w:val="00AB4FB9"/>
    <w:rsid w:val="00AB7747"/>
    <w:rsid w:val="00AB7A60"/>
    <w:rsid w:val="00AC26DD"/>
    <w:rsid w:val="00AC3508"/>
    <w:rsid w:val="00AC3BEB"/>
    <w:rsid w:val="00AC447A"/>
    <w:rsid w:val="00AC702C"/>
    <w:rsid w:val="00AD0B28"/>
    <w:rsid w:val="00AD6191"/>
    <w:rsid w:val="00AE5A6F"/>
    <w:rsid w:val="00AF079B"/>
    <w:rsid w:val="00AF30EA"/>
    <w:rsid w:val="00AF3193"/>
    <w:rsid w:val="00AF4B4C"/>
    <w:rsid w:val="00B02453"/>
    <w:rsid w:val="00B07A5E"/>
    <w:rsid w:val="00B103E7"/>
    <w:rsid w:val="00B10CE6"/>
    <w:rsid w:val="00B1463A"/>
    <w:rsid w:val="00B202B0"/>
    <w:rsid w:val="00B253BC"/>
    <w:rsid w:val="00B254E1"/>
    <w:rsid w:val="00B26E00"/>
    <w:rsid w:val="00B2717F"/>
    <w:rsid w:val="00B30A99"/>
    <w:rsid w:val="00B30D51"/>
    <w:rsid w:val="00B31F9C"/>
    <w:rsid w:val="00B35C6D"/>
    <w:rsid w:val="00B37224"/>
    <w:rsid w:val="00B37234"/>
    <w:rsid w:val="00B425AC"/>
    <w:rsid w:val="00B433A0"/>
    <w:rsid w:val="00B4486A"/>
    <w:rsid w:val="00B47F2B"/>
    <w:rsid w:val="00B51FE4"/>
    <w:rsid w:val="00B5249F"/>
    <w:rsid w:val="00B52B42"/>
    <w:rsid w:val="00B5358B"/>
    <w:rsid w:val="00B565FF"/>
    <w:rsid w:val="00B56D81"/>
    <w:rsid w:val="00B66FC6"/>
    <w:rsid w:val="00B71B92"/>
    <w:rsid w:val="00B73B49"/>
    <w:rsid w:val="00B7762B"/>
    <w:rsid w:val="00B77A16"/>
    <w:rsid w:val="00B83911"/>
    <w:rsid w:val="00B8427E"/>
    <w:rsid w:val="00B85A0F"/>
    <w:rsid w:val="00B87A55"/>
    <w:rsid w:val="00B93AD7"/>
    <w:rsid w:val="00B9529B"/>
    <w:rsid w:val="00BA0537"/>
    <w:rsid w:val="00BA068E"/>
    <w:rsid w:val="00BA1E74"/>
    <w:rsid w:val="00BA20D0"/>
    <w:rsid w:val="00BA5C0C"/>
    <w:rsid w:val="00BA6E0A"/>
    <w:rsid w:val="00BA73BF"/>
    <w:rsid w:val="00BA75AE"/>
    <w:rsid w:val="00BA7F33"/>
    <w:rsid w:val="00BB5474"/>
    <w:rsid w:val="00BB7856"/>
    <w:rsid w:val="00BB7C1E"/>
    <w:rsid w:val="00BC1526"/>
    <w:rsid w:val="00BC243A"/>
    <w:rsid w:val="00BD05EE"/>
    <w:rsid w:val="00BD1E6E"/>
    <w:rsid w:val="00BD34BC"/>
    <w:rsid w:val="00BE1C92"/>
    <w:rsid w:val="00BE3FFA"/>
    <w:rsid w:val="00BE40F3"/>
    <w:rsid w:val="00BE447C"/>
    <w:rsid w:val="00BE4650"/>
    <w:rsid w:val="00BE4663"/>
    <w:rsid w:val="00BE6EE6"/>
    <w:rsid w:val="00BE7DC6"/>
    <w:rsid w:val="00BF4552"/>
    <w:rsid w:val="00BF6A46"/>
    <w:rsid w:val="00BF7A14"/>
    <w:rsid w:val="00C009FD"/>
    <w:rsid w:val="00C02179"/>
    <w:rsid w:val="00C030E6"/>
    <w:rsid w:val="00C0345C"/>
    <w:rsid w:val="00C042FC"/>
    <w:rsid w:val="00C060CE"/>
    <w:rsid w:val="00C07A1A"/>
    <w:rsid w:val="00C07BD4"/>
    <w:rsid w:val="00C11128"/>
    <w:rsid w:val="00C15C18"/>
    <w:rsid w:val="00C2074D"/>
    <w:rsid w:val="00C2109E"/>
    <w:rsid w:val="00C24025"/>
    <w:rsid w:val="00C254C3"/>
    <w:rsid w:val="00C25CD8"/>
    <w:rsid w:val="00C27314"/>
    <w:rsid w:val="00C27EB2"/>
    <w:rsid w:val="00C3705C"/>
    <w:rsid w:val="00C37C85"/>
    <w:rsid w:val="00C41080"/>
    <w:rsid w:val="00C41A24"/>
    <w:rsid w:val="00C41EFB"/>
    <w:rsid w:val="00C4534E"/>
    <w:rsid w:val="00C46E29"/>
    <w:rsid w:val="00C53542"/>
    <w:rsid w:val="00C54418"/>
    <w:rsid w:val="00C55F00"/>
    <w:rsid w:val="00C60184"/>
    <w:rsid w:val="00C60F8C"/>
    <w:rsid w:val="00C61D1E"/>
    <w:rsid w:val="00C62121"/>
    <w:rsid w:val="00C64858"/>
    <w:rsid w:val="00C65492"/>
    <w:rsid w:val="00C65E5C"/>
    <w:rsid w:val="00C674C2"/>
    <w:rsid w:val="00C67AB6"/>
    <w:rsid w:val="00C7062D"/>
    <w:rsid w:val="00C736D0"/>
    <w:rsid w:val="00C751F2"/>
    <w:rsid w:val="00C77FE9"/>
    <w:rsid w:val="00C8056A"/>
    <w:rsid w:val="00C80A73"/>
    <w:rsid w:val="00C80B41"/>
    <w:rsid w:val="00C84F1F"/>
    <w:rsid w:val="00C87F2A"/>
    <w:rsid w:val="00C93300"/>
    <w:rsid w:val="00C94B60"/>
    <w:rsid w:val="00CA1A14"/>
    <w:rsid w:val="00CA3778"/>
    <w:rsid w:val="00CA4586"/>
    <w:rsid w:val="00CA526E"/>
    <w:rsid w:val="00CA529E"/>
    <w:rsid w:val="00CA65BD"/>
    <w:rsid w:val="00CB48DC"/>
    <w:rsid w:val="00CB589D"/>
    <w:rsid w:val="00CB67AC"/>
    <w:rsid w:val="00CB7236"/>
    <w:rsid w:val="00CC052C"/>
    <w:rsid w:val="00CC1899"/>
    <w:rsid w:val="00CC2F68"/>
    <w:rsid w:val="00CC35D2"/>
    <w:rsid w:val="00CC6EFB"/>
    <w:rsid w:val="00CD0DDE"/>
    <w:rsid w:val="00CD1309"/>
    <w:rsid w:val="00CD17EB"/>
    <w:rsid w:val="00CD29CB"/>
    <w:rsid w:val="00CD4010"/>
    <w:rsid w:val="00CD656C"/>
    <w:rsid w:val="00CD7799"/>
    <w:rsid w:val="00CE1730"/>
    <w:rsid w:val="00CE2D10"/>
    <w:rsid w:val="00CE30D1"/>
    <w:rsid w:val="00CE3DB5"/>
    <w:rsid w:val="00CE7A8D"/>
    <w:rsid w:val="00CF1757"/>
    <w:rsid w:val="00CF3867"/>
    <w:rsid w:val="00CF3F6C"/>
    <w:rsid w:val="00CF51F0"/>
    <w:rsid w:val="00CF52D9"/>
    <w:rsid w:val="00CF742B"/>
    <w:rsid w:val="00CF7BE1"/>
    <w:rsid w:val="00D02869"/>
    <w:rsid w:val="00D03436"/>
    <w:rsid w:val="00D03451"/>
    <w:rsid w:val="00D036D4"/>
    <w:rsid w:val="00D058E7"/>
    <w:rsid w:val="00D06959"/>
    <w:rsid w:val="00D07C37"/>
    <w:rsid w:val="00D107DE"/>
    <w:rsid w:val="00D13B02"/>
    <w:rsid w:val="00D237F7"/>
    <w:rsid w:val="00D23A73"/>
    <w:rsid w:val="00D247D5"/>
    <w:rsid w:val="00D261F6"/>
    <w:rsid w:val="00D31773"/>
    <w:rsid w:val="00D328B4"/>
    <w:rsid w:val="00D34375"/>
    <w:rsid w:val="00D35AA5"/>
    <w:rsid w:val="00D47C8E"/>
    <w:rsid w:val="00D47C94"/>
    <w:rsid w:val="00D5055B"/>
    <w:rsid w:val="00D51669"/>
    <w:rsid w:val="00D520F1"/>
    <w:rsid w:val="00D552AA"/>
    <w:rsid w:val="00D56190"/>
    <w:rsid w:val="00D56F6E"/>
    <w:rsid w:val="00D57E12"/>
    <w:rsid w:val="00D61335"/>
    <w:rsid w:val="00D623CD"/>
    <w:rsid w:val="00D62D21"/>
    <w:rsid w:val="00D63500"/>
    <w:rsid w:val="00D641B2"/>
    <w:rsid w:val="00D64500"/>
    <w:rsid w:val="00D708EB"/>
    <w:rsid w:val="00D721B8"/>
    <w:rsid w:val="00D73EFC"/>
    <w:rsid w:val="00D73F56"/>
    <w:rsid w:val="00D754A5"/>
    <w:rsid w:val="00D7562A"/>
    <w:rsid w:val="00D76AD0"/>
    <w:rsid w:val="00D80A41"/>
    <w:rsid w:val="00D81AB8"/>
    <w:rsid w:val="00D81CB1"/>
    <w:rsid w:val="00D85B1D"/>
    <w:rsid w:val="00D879B4"/>
    <w:rsid w:val="00D87F5B"/>
    <w:rsid w:val="00D90AC4"/>
    <w:rsid w:val="00D9437D"/>
    <w:rsid w:val="00D94D1D"/>
    <w:rsid w:val="00D96E3F"/>
    <w:rsid w:val="00DA1516"/>
    <w:rsid w:val="00DA2445"/>
    <w:rsid w:val="00DA3A26"/>
    <w:rsid w:val="00DA5F8F"/>
    <w:rsid w:val="00DA6233"/>
    <w:rsid w:val="00DA7E66"/>
    <w:rsid w:val="00DB3796"/>
    <w:rsid w:val="00DB4851"/>
    <w:rsid w:val="00DB5926"/>
    <w:rsid w:val="00DC050F"/>
    <w:rsid w:val="00DC4195"/>
    <w:rsid w:val="00DC4A5E"/>
    <w:rsid w:val="00DC5246"/>
    <w:rsid w:val="00DC6C75"/>
    <w:rsid w:val="00DC7B44"/>
    <w:rsid w:val="00DD02FF"/>
    <w:rsid w:val="00DD16D1"/>
    <w:rsid w:val="00DD28B4"/>
    <w:rsid w:val="00DD388B"/>
    <w:rsid w:val="00DD413F"/>
    <w:rsid w:val="00DE05DE"/>
    <w:rsid w:val="00DE1A07"/>
    <w:rsid w:val="00DE329E"/>
    <w:rsid w:val="00DE3D44"/>
    <w:rsid w:val="00DF0D03"/>
    <w:rsid w:val="00DF219A"/>
    <w:rsid w:val="00DF37C0"/>
    <w:rsid w:val="00DF4B58"/>
    <w:rsid w:val="00DF511F"/>
    <w:rsid w:val="00DF56E7"/>
    <w:rsid w:val="00E040B8"/>
    <w:rsid w:val="00E061B5"/>
    <w:rsid w:val="00E12F7F"/>
    <w:rsid w:val="00E13418"/>
    <w:rsid w:val="00E14122"/>
    <w:rsid w:val="00E1587D"/>
    <w:rsid w:val="00E16B00"/>
    <w:rsid w:val="00E20D5A"/>
    <w:rsid w:val="00E222EA"/>
    <w:rsid w:val="00E22A5E"/>
    <w:rsid w:val="00E24549"/>
    <w:rsid w:val="00E24D1C"/>
    <w:rsid w:val="00E26EA7"/>
    <w:rsid w:val="00E33FF6"/>
    <w:rsid w:val="00E34609"/>
    <w:rsid w:val="00E36613"/>
    <w:rsid w:val="00E414CA"/>
    <w:rsid w:val="00E46928"/>
    <w:rsid w:val="00E471C3"/>
    <w:rsid w:val="00E473DD"/>
    <w:rsid w:val="00E503EA"/>
    <w:rsid w:val="00E51789"/>
    <w:rsid w:val="00E51DD0"/>
    <w:rsid w:val="00E52CB0"/>
    <w:rsid w:val="00E539CE"/>
    <w:rsid w:val="00E5514D"/>
    <w:rsid w:val="00E55952"/>
    <w:rsid w:val="00E5641D"/>
    <w:rsid w:val="00E57B71"/>
    <w:rsid w:val="00E61587"/>
    <w:rsid w:val="00E64ACE"/>
    <w:rsid w:val="00E66814"/>
    <w:rsid w:val="00E70758"/>
    <w:rsid w:val="00E73F6A"/>
    <w:rsid w:val="00E77C7F"/>
    <w:rsid w:val="00E77D29"/>
    <w:rsid w:val="00E805D4"/>
    <w:rsid w:val="00E82DB4"/>
    <w:rsid w:val="00E833C2"/>
    <w:rsid w:val="00E8681C"/>
    <w:rsid w:val="00E87B78"/>
    <w:rsid w:val="00E87F0D"/>
    <w:rsid w:val="00EA02E2"/>
    <w:rsid w:val="00EA55C3"/>
    <w:rsid w:val="00EA5615"/>
    <w:rsid w:val="00EA7AB6"/>
    <w:rsid w:val="00EB0AD9"/>
    <w:rsid w:val="00EB39A0"/>
    <w:rsid w:val="00EB3C5D"/>
    <w:rsid w:val="00EB66C1"/>
    <w:rsid w:val="00EB6795"/>
    <w:rsid w:val="00EC3E65"/>
    <w:rsid w:val="00EC3F8A"/>
    <w:rsid w:val="00EC4FF3"/>
    <w:rsid w:val="00EC604B"/>
    <w:rsid w:val="00EC6DFA"/>
    <w:rsid w:val="00ED0B57"/>
    <w:rsid w:val="00ED34A0"/>
    <w:rsid w:val="00ED3D32"/>
    <w:rsid w:val="00ED436F"/>
    <w:rsid w:val="00ED4D51"/>
    <w:rsid w:val="00EE0E01"/>
    <w:rsid w:val="00EE1470"/>
    <w:rsid w:val="00EE5CC9"/>
    <w:rsid w:val="00EF0010"/>
    <w:rsid w:val="00EF1C47"/>
    <w:rsid w:val="00EF2004"/>
    <w:rsid w:val="00EF266B"/>
    <w:rsid w:val="00EF3296"/>
    <w:rsid w:val="00EF3549"/>
    <w:rsid w:val="00EF406C"/>
    <w:rsid w:val="00F01922"/>
    <w:rsid w:val="00F020D9"/>
    <w:rsid w:val="00F025CE"/>
    <w:rsid w:val="00F03548"/>
    <w:rsid w:val="00F04291"/>
    <w:rsid w:val="00F04E66"/>
    <w:rsid w:val="00F0661D"/>
    <w:rsid w:val="00F068CD"/>
    <w:rsid w:val="00F1200C"/>
    <w:rsid w:val="00F16AFA"/>
    <w:rsid w:val="00F179D6"/>
    <w:rsid w:val="00F17A59"/>
    <w:rsid w:val="00F21DE0"/>
    <w:rsid w:val="00F22956"/>
    <w:rsid w:val="00F2467D"/>
    <w:rsid w:val="00F25869"/>
    <w:rsid w:val="00F261E5"/>
    <w:rsid w:val="00F2780E"/>
    <w:rsid w:val="00F332FE"/>
    <w:rsid w:val="00F365F4"/>
    <w:rsid w:val="00F4097F"/>
    <w:rsid w:val="00F4712B"/>
    <w:rsid w:val="00F47BDF"/>
    <w:rsid w:val="00F50272"/>
    <w:rsid w:val="00F50D8F"/>
    <w:rsid w:val="00F553B3"/>
    <w:rsid w:val="00F574AE"/>
    <w:rsid w:val="00F57AAC"/>
    <w:rsid w:val="00F66005"/>
    <w:rsid w:val="00F6632C"/>
    <w:rsid w:val="00F67175"/>
    <w:rsid w:val="00F675D3"/>
    <w:rsid w:val="00F70677"/>
    <w:rsid w:val="00F708BC"/>
    <w:rsid w:val="00F70DF9"/>
    <w:rsid w:val="00F723AD"/>
    <w:rsid w:val="00F80E7F"/>
    <w:rsid w:val="00F8589C"/>
    <w:rsid w:val="00F8684A"/>
    <w:rsid w:val="00F91873"/>
    <w:rsid w:val="00F94342"/>
    <w:rsid w:val="00F96BD4"/>
    <w:rsid w:val="00FA241A"/>
    <w:rsid w:val="00FA2FDC"/>
    <w:rsid w:val="00FA5D97"/>
    <w:rsid w:val="00FA6B6E"/>
    <w:rsid w:val="00FA6D95"/>
    <w:rsid w:val="00FA71A2"/>
    <w:rsid w:val="00FB093A"/>
    <w:rsid w:val="00FB1F36"/>
    <w:rsid w:val="00FB528D"/>
    <w:rsid w:val="00FB5B96"/>
    <w:rsid w:val="00FB6276"/>
    <w:rsid w:val="00FC1B30"/>
    <w:rsid w:val="00FC29B4"/>
    <w:rsid w:val="00FC2D82"/>
    <w:rsid w:val="00FC6A45"/>
    <w:rsid w:val="00FC6E03"/>
    <w:rsid w:val="00FD0185"/>
    <w:rsid w:val="00FD1DAA"/>
    <w:rsid w:val="00FD241D"/>
    <w:rsid w:val="00FD257A"/>
    <w:rsid w:val="00FD7FC2"/>
    <w:rsid w:val="00FE056B"/>
    <w:rsid w:val="00FE11DF"/>
    <w:rsid w:val="00FE2864"/>
    <w:rsid w:val="00FE5D02"/>
    <w:rsid w:val="00FE6358"/>
    <w:rsid w:val="00FE7962"/>
    <w:rsid w:val="00FF15DA"/>
    <w:rsid w:val="00FF3662"/>
    <w:rsid w:val="00FF3BF4"/>
    <w:rsid w:val="00FF62CD"/>
    <w:rsid w:val="00FF6C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8850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0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nod">
    <w:name w:val="naisnod"/>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kr">
    <w:name w:val="naiskr"/>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rsid w:val="0070526D"/>
    <w:pPr>
      <w:spacing w:before="100" w:beforeAutospacing="1" w:after="100" w:afterAutospacing="1"/>
    </w:pPr>
    <w:rPr>
      <w:rFonts w:eastAsia="Times New Roman" w:cs="Times New Roman"/>
      <w:sz w:val="24"/>
      <w:szCs w:val="24"/>
      <w:lang w:eastAsia="lv-LV"/>
    </w:rPr>
  </w:style>
  <w:style w:type="paragraph" w:styleId="BodyText3">
    <w:name w:val="Body Text 3"/>
    <w:basedOn w:val="Normal"/>
    <w:link w:val="BodyText3Char"/>
    <w:rsid w:val="002B5BA9"/>
    <w:rPr>
      <w:rFonts w:eastAsia="Times New Roman" w:cs="Times New Roman"/>
      <w:b/>
      <w:i/>
      <w:sz w:val="24"/>
      <w:szCs w:val="20"/>
      <w:lang w:eastAsia="lv-LV"/>
    </w:rPr>
  </w:style>
  <w:style w:type="character" w:customStyle="1" w:styleId="BodyText3Char">
    <w:name w:val="Body Text 3 Char"/>
    <w:basedOn w:val="DefaultParagraphFont"/>
    <w:link w:val="BodyText3"/>
    <w:rsid w:val="002B5BA9"/>
    <w:rPr>
      <w:rFonts w:eastAsia="Times New Roman" w:cs="Times New Roman"/>
      <w:b/>
      <w:i/>
      <w:sz w:val="24"/>
      <w:szCs w:val="20"/>
      <w:lang w:eastAsia="lv-LV"/>
    </w:rPr>
  </w:style>
  <w:style w:type="character" w:styleId="Hyperlink">
    <w:name w:val="Hyperlink"/>
    <w:basedOn w:val="DefaultParagraphFont"/>
    <w:uiPriority w:val="99"/>
    <w:rsid w:val="002A429F"/>
    <w:rPr>
      <w:color w:val="0000FF"/>
      <w:u w:val="single"/>
    </w:rPr>
  </w:style>
  <w:style w:type="paragraph" w:styleId="BalloonText">
    <w:name w:val="Balloon Text"/>
    <w:basedOn w:val="Normal"/>
    <w:link w:val="BalloonTextChar"/>
    <w:uiPriority w:val="99"/>
    <w:semiHidden/>
    <w:unhideWhenUsed/>
    <w:rsid w:val="002A429F"/>
    <w:rPr>
      <w:rFonts w:ascii="Tahoma" w:hAnsi="Tahoma" w:cs="Tahoma"/>
      <w:sz w:val="16"/>
      <w:szCs w:val="16"/>
    </w:rPr>
  </w:style>
  <w:style w:type="character" w:customStyle="1" w:styleId="BalloonTextChar">
    <w:name w:val="Balloon Text Char"/>
    <w:basedOn w:val="DefaultParagraphFont"/>
    <w:link w:val="BalloonText"/>
    <w:uiPriority w:val="99"/>
    <w:semiHidden/>
    <w:rsid w:val="002A429F"/>
    <w:rPr>
      <w:rFonts w:ascii="Tahoma" w:hAnsi="Tahoma" w:cs="Tahoma"/>
      <w:sz w:val="16"/>
      <w:szCs w:val="16"/>
    </w:rPr>
  </w:style>
  <w:style w:type="paragraph" w:styleId="Header">
    <w:name w:val="header"/>
    <w:basedOn w:val="Normal"/>
    <w:link w:val="HeaderChar"/>
    <w:uiPriority w:val="99"/>
    <w:unhideWhenUsed/>
    <w:rsid w:val="007740F2"/>
    <w:pPr>
      <w:tabs>
        <w:tab w:val="center" w:pos="4153"/>
        <w:tab w:val="right" w:pos="8306"/>
      </w:tabs>
    </w:pPr>
  </w:style>
  <w:style w:type="character" w:customStyle="1" w:styleId="HeaderChar">
    <w:name w:val="Header Char"/>
    <w:basedOn w:val="DefaultParagraphFont"/>
    <w:link w:val="Header"/>
    <w:uiPriority w:val="99"/>
    <w:rsid w:val="007740F2"/>
  </w:style>
  <w:style w:type="paragraph" w:styleId="Footer">
    <w:name w:val="footer"/>
    <w:basedOn w:val="Normal"/>
    <w:link w:val="FooterChar"/>
    <w:unhideWhenUsed/>
    <w:rsid w:val="007740F2"/>
    <w:pPr>
      <w:tabs>
        <w:tab w:val="center" w:pos="4153"/>
        <w:tab w:val="right" w:pos="8306"/>
      </w:tabs>
    </w:pPr>
  </w:style>
  <w:style w:type="character" w:customStyle="1" w:styleId="FooterChar">
    <w:name w:val="Footer Char"/>
    <w:basedOn w:val="DefaultParagraphFont"/>
    <w:link w:val="Footer"/>
    <w:rsid w:val="007740F2"/>
  </w:style>
  <w:style w:type="paragraph" w:styleId="ListParagraph">
    <w:name w:val="List Paragraph"/>
    <w:basedOn w:val="Normal"/>
    <w:uiPriority w:val="99"/>
    <w:qFormat/>
    <w:rsid w:val="00062334"/>
    <w:pPr>
      <w:ind w:left="720"/>
      <w:contextualSpacing/>
    </w:pPr>
  </w:style>
  <w:style w:type="character" w:styleId="CommentReference">
    <w:name w:val="annotation reference"/>
    <w:basedOn w:val="DefaultParagraphFont"/>
    <w:uiPriority w:val="99"/>
    <w:semiHidden/>
    <w:unhideWhenUsed/>
    <w:rsid w:val="0089165D"/>
    <w:rPr>
      <w:sz w:val="16"/>
      <w:szCs w:val="16"/>
    </w:rPr>
  </w:style>
  <w:style w:type="paragraph" w:styleId="CommentText">
    <w:name w:val="annotation text"/>
    <w:basedOn w:val="Normal"/>
    <w:link w:val="CommentTextChar"/>
    <w:uiPriority w:val="99"/>
    <w:semiHidden/>
    <w:unhideWhenUsed/>
    <w:rsid w:val="0089165D"/>
    <w:rPr>
      <w:sz w:val="20"/>
      <w:szCs w:val="20"/>
    </w:rPr>
  </w:style>
  <w:style w:type="character" w:customStyle="1" w:styleId="CommentTextChar">
    <w:name w:val="Comment Text Char"/>
    <w:basedOn w:val="DefaultParagraphFont"/>
    <w:link w:val="CommentText"/>
    <w:uiPriority w:val="99"/>
    <w:semiHidden/>
    <w:rsid w:val="0089165D"/>
    <w:rPr>
      <w:sz w:val="20"/>
      <w:szCs w:val="20"/>
    </w:rPr>
  </w:style>
  <w:style w:type="paragraph" w:styleId="CommentSubject">
    <w:name w:val="annotation subject"/>
    <w:basedOn w:val="CommentText"/>
    <w:next w:val="CommentText"/>
    <w:link w:val="CommentSubjectChar"/>
    <w:uiPriority w:val="99"/>
    <w:semiHidden/>
    <w:unhideWhenUsed/>
    <w:rsid w:val="0089165D"/>
    <w:rPr>
      <w:b/>
      <w:bCs/>
    </w:rPr>
  </w:style>
  <w:style w:type="character" w:customStyle="1" w:styleId="CommentSubjectChar">
    <w:name w:val="Comment Subject Char"/>
    <w:basedOn w:val="CommentTextChar"/>
    <w:link w:val="CommentSubject"/>
    <w:uiPriority w:val="99"/>
    <w:semiHidden/>
    <w:rsid w:val="0089165D"/>
    <w:rPr>
      <w:b/>
      <w:bCs/>
      <w:sz w:val="20"/>
      <w:szCs w:val="20"/>
    </w:rPr>
  </w:style>
  <w:style w:type="paragraph" w:styleId="BodyText">
    <w:name w:val="Body Text"/>
    <w:basedOn w:val="Normal"/>
    <w:link w:val="BodyTextChar"/>
    <w:uiPriority w:val="99"/>
    <w:unhideWhenUsed/>
    <w:rsid w:val="00D63500"/>
    <w:pPr>
      <w:spacing w:after="120"/>
    </w:pPr>
  </w:style>
  <w:style w:type="character" w:customStyle="1" w:styleId="BodyTextChar">
    <w:name w:val="Body Text Char"/>
    <w:basedOn w:val="DefaultParagraphFont"/>
    <w:link w:val="BodyText"/>
    <w:uiPriority w:val="99"/>
    <w:rsid w:val="00D63500"/>
  </w:style>
  <w:style w:type="paragraph" w:customStyle="1" w:styleId="naisvisr">
    <w:name w:val="naisvisr"/>
    <w:basedOn w:val="Normal"/>
    <w:rsid w:val="00FB093A"/>
    <w:pPr>
      <w:spacing w:before="100" w:beforeAutospacing="1" w:after="100" w:afterAutospacing="1"/>
    </w:pPr>
    <w:rPr>
      <w:rFonts w:eastAsia="Times New Roman" w:cs="Times New Roman"/>
      <w:sz w:val="24"/>
      <w:szCs w:val="24"/>
      <w:lang w:eastAsia="lv-LV"/>
    </w:rPr>
  </w:style>
  <w:style w:type="paragraph" w:styleId="FootnoteText">
    <w:name w:val="footnote text"/>
    <w:basedOn w:val="Normal"/>
    <w:link w:val="FootnoteTextChar"/>
    <w:uiPriority w:val="99"/>
    <w:semiHidden/>
    <w:unhideWhenUsed/>
    <w:rsid w:val="00942FB1"/>
    <w:rPr>
      <w:sz w:val="20"/>
      <w:szCs w:val="20"/>
    </w:rPr>
  </w:style>
  <w:style w:type="character" w:customStyle="1" w:styleId="FootnoteTextChar">
    <w:name w:val="Footnote Text Char"/>
    <w:basedOn w:val="DefaultParagraphFont"/>
    <w:link w:val="FootnoteText"/>
    <w:uiPriority w:val="99"/>
    <w:semiHidden/>
    <w:rsid w:val="00942FB1"/>
    <w:rPr>
      <w:sz w:val="20"/>
      <w:szCs w:val="20"/>
    </w:rPr>
  </w:style>
  <w:style w:type="character" w:styleId="FootnoteReference">
    <w:name w:val="footnote reference"/>
    <w:basedOn w:val="DefaultParagraphFont"/>
    <w:uiPriority w:val="99"/>
    <w:semiHidden/>
    <w:unhideWhenUsed/>
    <w:rsid w:val="00942FB1"/>
    <w:rPr>
      <w:vertAlign w:val="superscript"/>
    </w:rPr>
  </w:style>
  <w:style w:type="table" w:styleId="TableGrid">
    <w:name w:val="Table Grid"/>
    <w:basedOn w:val="TableNormal"/>
    <w:uiPriority w:val="59"/>
    <w:unhideWhenUsed/>
    <w:rsid w:val="00D31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A3AEA"/>
  </w:style>
  <w:style w:type="paragraph" w:styleId="NormalWeb">
    <w:name w:val="Normal (Web)"/>
    <w:basedOn w:val="Normal"/>
    <w:uiPriority w:val="99"/>
    <w:unhideWhenUsed/>
    <w:rsid w:val="00C37C85"/>
    <w:pPr>
      <w:ind w:firstLine="567"/>
      <w:jc w:val="both"/>
    </w:pPr>
    <w:rPr>
      <w:rFonts w:eastAsia="Calibri"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0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nod">
    <w:name w:val="naisnod"/>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kr">
    <w:name w:val="naiskr"/>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rsid w:val="0070526D"/>
    <w:pPr>
      <w:spacing w:before="100" w:beforeAutospacing="1" w:after="100" w:afterAutospacing="1"/>
    </w:pPr>
    <w:rPr>
      <w:rFonts w:eastAsia="Times New Roman" w:cs="Times New Roman"/>
      <w:sz w:val="24"/>
      <w:szCs w:val="24"/>
      <w:lang w:eastAsia="lv-LV"/>
    </w:rPr>
  </w:style>
  <w:style w:type="paragraph" w:styleId="BodyText3">
    <w:name w:val="Body Text 3"/>
    <w:basedOn w:val="Normal"/>
    <w:link w:val="BodyText3Char"/>
    <w:rsid w:val="002B5BA9"/>
    <w:rPr>
      <w:rFonts w:eastAsia="Times New Roman" w:cs="Times New Roman"/>
      <w:b/>
      <w:i/>
      <w:sz w:val="24"/>
      <w:szCs w:val="20"/>
      <w:lang w:eastAsia="lv-LV"/>
    </w:rPr>
  </w:style>
  <w:style w:type="character" w:customStyle="1" w:styleId="BodyText3Char">
    <w:name w:val="Body Text 3 Char"/>
    <w:basedOn w:val="DefaultParagraphFont"/>
    <w:link w:val="BodyText3"/>
    <w:rsid w:val="002B5BA9"/>
    <w:rPr>
      <w:rFonts w:eastAsia="Times New Roman" w:cs="Times New Roman"/>
      <w:b/>
      <w:i/>
      <w:sz w:val="24"/>
      <w:szCs w:val="20"/>
      <w:lang w:eastAsia="lv-LV"/>
    </w:rPr>
  </w:style>
  <w:style w:type="character" w:styleId="Hyperlink">
    <w:name w:val="Hyperlink"/>
    <w:basedOn w:val="DefaultParagraphFont"/>
    <w:uiPriority w:val="99"/>
    <w:rsid w:val="002A429F"/>
    <w:rPr>
      <w:color w:val="0000FF"/>
      <w:u w:val="single"/>
    </w:rPr>
  </w:style>
  <w:style w:type="paragraph" w:styleId="BalloonText">
    <w:name w:val="Balloon Text"/>
    <w:basedOn w:val="Normal"/>
    <w:link w:val="BalloonTextChar"/>
    <w:uiPriority w:val="99"/>
    <w:semiHidden/>
    <w:unhideWhenUsed/>
    <w:rsid w:val="002A429F"/>
    <w:rPr>
      <w:rFonts w:ascii="Tahoma" w:hAnsi="Tahoma" w:cs="Tahoma"/>
      <w:sz w:val="16"/>
      <w:szCs w:val="16"/>
    </w:rPr>
  </w:style>
  <w:style w:type="character" w:customStyle="1" w:styleId="BalloonTextChar">
    <w:name w:val="Balloon Text Char"/>
    <w:basedOn w:val="DefaultParagraphFont"/>
    <w:link w:val="BalloonText"/>
    <w:uiPriority w:val="99"/>
    <w:semiHidden/>
    <w:rsid w:val="002A429F"/>
    <w:rPr>
      <w:rFonts w:ascii="Tahoma" w:hAnsi="Tahoma" w:cs="Tahoma"/>
      <w:sz w:val="16"/>
      <w:szCs w:val="16"/>
    </w:rPr>
  </w:style>
  <w:style w:type="paragraph" w:styleId="Header">
    <w:name w:val="header"/>
    <w:basedOn w:val="Normal"/>
    <w:link w:val="HeaderChar"/>
    <w:uiPriority w:val="99"/>
    <w:unhideWhenUsed/>
    <w:rsid w:val="007740F2"/>
    <w:pPr>
      <w:tabs>
        <w:tab w:val="center" w:pos="4153"/>
        <w:tab w:val="right" w:pos="8306"/>
      </w:tabs>
    </w:pPr>
  </w:style>
  <w:style w:type="character" w:customStyle="1" w:styleId="HeaderChar">
    <w:name w:val="Header Char"/>
    <w:basedOn w:val="DefaultParagraphFont"/>
    <w:link w:val="Header"/>
    <w:uiPriority w:val="99"/>
    <w:rsid w:val="007740F2"/>
  </w:style>
  <w:style w:type="paragraph" w:styleId="Footer">
    <w:name w:val="footer"/>
    <w:basedOn w:val="Normal"/>
    <w:link w:val="FooterChar"/>
    <w:unhideWhenUsed/>
    <w:rsid w:val="007740F2"/>
    <w:pPr>
      <w:tabs>
        <w:tab w:val="center" w:pos="4153"/>
        <w:tab w:val="right" w:pos="8306"/>
      </w:tabs>
    </w:pPr>
  </w:style>
  <w:style w:type="character" w:customStyle="1" w:styleId="FooterChar">
    <w:name w:val="Footer Char"/>
    <w:basedOn w:val="DefaultParagraphFont"/>
    <w:link w:val="Footer"/>
    <w:rsid w:val="007740F2"/>
  </w:style>
  <w:style w:type="paragraph" w:styleId="ListParagraph">
    <w:name w:val="List Paragraph"/>
    <w:basedOn w:val="Normal"/>
    <w:uiPriority w:val="99"/>
    <w:qFormat/>
    <w:rsid w:val="00062334"/>
    <w:pPr>
      <w:ind w:left="720"/>
      <w:contextualSpacing/>
    </w:pPr>
  </w:style>
  <w:style w:type="character" w:styleId="CommentReference">
    <w:name w:val="annotation reference"/>
    <w:basedOn w:val="DefaultParagraphFont"/>
    <w:uiPriority w:val="99"/>
    <w:semiHidden/>
    <w:unhideWhenUsed/>
    <w:rsid w:val="0089165D"/>
    <w:rPr>
      <w:sz w:val="16"/>
      <w:szCs w:val="16"/>
    </w:rPr>
  </w:style>
  <w:style w:type="paragraph" w:styleId="CommentText">
    <w:name w:val="annotation text"/>
    <w:basedOn w:val="Normal"/>
    <w:link w:val="CommentTextChar"/>
    <w:uiPriority w:val="99"/>
    <w:semiHidden/>
    <w:unhideWhenUsed/>
    <w:rsid w:val="0089165D"/>
    <w:rPr>
      <w:sz w:val="20"/>
      <w:szCs w:val="20"/>
    </w:rPr>
  </w:style>
  <w:style w:type="character" w:customStyle="1" w:styleId="CommentTextChar">
    <w:name w:val="Comment Text Char"/>
    <w:basedOn w:val="DefaultParagraphFont"/>
    <w:link w:val="CommentText"/>
    <w:uiPriority w:val="99"/>
    <w:semiHidden/>
    <w:rsid w:val="0089165D"/>
    <w:rPr>
      <w:sz w:val="20"/>
      <w:szCs w:val="20"/>
    </w:rPr>
  </w:style>
  <w:style w:type="paragraph" w:styleId="CommentSubject">
    <w:name w:val="annotation subject"/>
    <w:basedOn w:val="CommentText"/>
    <w:next w:val="CommentText"/>
    <w:link w:val="CommentSubjectChar"/>
    <w:uiPriority w:val="99"/>
    <w:semiHidden/>
    <w:unhideWhenUsed/>
    <w:rsid w:val="0089165D"/>
    <w:rPr>
      <w:b/>
      <w:bCs/>
    </w:rPr>
  </w:style>
  <w:style w:type="character" w:customStyle="1" w:styleId="CommentSubjectChar">
    <w:name w:val="Comment Subject Char"/>
    <w:basedOn w:val="CommentTextChar"/>
    <w:link w:val="CommentSubject"/>
    <w:uiPriority w:val="99"/>
    <w:semiHidden/>
    <w:rsid w:val="0089165D"/>
    <w:rPr>
      <w:b/>
      <w:bCs/>
      <w:sz w:val="20"/>
      <w:szCs w:val="20"/>
    </w:rPr>
  </w:style>
  <w:style w:type="paragraph" w:styleId="BodyText">
    <w:name w:val="Body Text"/>
    <w:basedOn w:val="Normal"/>
    <w:link w:val="BodyTextChar"/>
    <w:uiPriority w:val="99"/>
    <w:unhideWhenUsed/>
    <w:rsid w:val="00D63500"/>
    <w:pPr>
      <w:spacing w:after="120"/>
    </w:pPr>
  </w:style>
  <w:style w:type="character" w:customStyle="1" w:styleId="BodyTextChar">
    <w:name w:val="Body Text Char"/>
    <w:basedOn w:val="DefaultParagraphFont"/>
    <w:link w:val="BodyText"/>
    <w:uiPriority w:val="99"/>
    <w:rsid w:val="00D63500"/>
  </w:style>
  <w:style w:type="paragraph" w:customStyle="1" w:styleId="naisvisr">
    <w:name w:val="naisvisr"/>
    <w:basedOn w:val="Normal"/>
    <w:rsid w:val="00FB093A"/>
    <w:pPr>
      <w:spacing w:before="100" w:beforeAutospacing="1" w:after="100" w:afterAutospacing="1"/>
    </w:pPr>
    <w:rPr>
      <w:rFonts w:eastAsia="Times New Roman" w:cs="Times New Roman"/>
      <w:sz w:val="24"/>
      <w:szCs w:val="24"/>
      <w:lang w:eastAsia="lv-LV"/>
    </w:rPr>
  </w:style>
  <w:style w:type="paragraph" w:styleId="FootnoteText">
    <w:name w:val="footnote text"/>
    <w:basedOn w:val="Normal"/>
    <w:link w:val="FootnoteTextChar"/>
    <w:uiPriority w:val="99"/>
    <w:semiHidden/>
    <w:unhideWhenUsed/>
    <w:rsid w:val="00942FB1"/>
    <w:rPr>
      <w:sz w:val="20"/>
      <w:szCs w:val="20"/>
    </w:rPr>
  </w:style>
  <w:style w:type="character" w:customStyle="1" w:styleId="FootnoteTextChar">
    <w:name w:val="Footnote Text Char"/>
    <w:basedOn w:val="DefaultParagraphFont"/>
    <w:link w:val="FootnoteText"/>
    <w:uiPriority w:val="99"/>
    <w:semiHidden/>
    <w:rsid w:val="00942FB1"/>
    <w:rPr>
      <w:sz w:val="20"/>
      <w:szCs w:val="20"/>
    </w:rPr>
  </w:style>
  <w:style w:type="character" w:styleId="FootnoteReference">
    <w:name w:val="footnote reference"/>
    <w:basedOn w:val="DefaultParagraphFont"/>
    <w:uiPriority w:val="99"/>
    <w:semiHidden/>
    <w:unhideWhenUsed/>
    <w:rsid w:val="00942FB1"/>
    <w:rPr>
      <w:vertAlign w:val="superscript"/>
    </w:rPr>
  </w:style>
  <w:style w:type="table" w:styleId="TableGrid">
    <w:name w:val="Table Grid"/>
    <w:basedOn w:val="TableNormal"/>
    <w:uiPriority w:val="59"/>
    <w:unhideWhenUsed/>
    <w:rsid w:val="00D31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A3AEA"/>
  </w:style>
  <w:style w:type="paragraph" w:styleId="NormalWeb">
    <w:name w:val="Normal (Web)"/>
    <w:basedOn w:val="Normal"/>
    <w:uiPriority w:val="99"/>
    <w:unhideWhenUsed/>
    <w:rsid w:val="00C37C85"/>
    <w:pPr>
      <w:ind w:firstLine="567"/>
      <w:jc w:val="both"/>
    </w:pPr>
    <w:rPr>
      <w:rFonts w:eastAsia="Calibri"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864263">
      <w:bodyDiv w:val="1"/>
      <w:marLeft w:val="0"/>
      <w:marRight w:val="0"/>
      <w:marTop w:val="0"/>
      <w:marBottom w:val="0"/>
      <w:divBdr>
        <w:top w:val="none" w:sz="0" w:space="0" w:color="auto"/>
        <w:left w:val="none" w:sz="0" w:space="0" w:color="auto"/>
        <w:bottom w:val="none" w:sz="0" w:space="0" w:color="auto"/>
        <w:right w:val="none" w:sz="0" w:space="0" w:color="auto"/>
      </w:divBdr>
    </w:div>
    <w:div w:id="1243444146">
      <w:bodyDiv w:val="1"/>
      <w:marLeft w:val="0"/>
      <w:marRight w:val="0"/>
      <w:marTop w:val="0"/>
      <w:marBottom w:val="0"/>
      <w:divBdr>
        <w:top w:val="none" w:sz="0" w:space="0" w:color="auto"/>
        <w:left w:val="none" w:sz="0" w:space="0" w:color="auto"/>
        <w:bottom w:val="none" w:sz="0" w:space="0" w:color="auto"/>
        <w:right w:val="none" w:sz="0" w:space="0" w:color="auto"/>
      </w:divBdr>
    </w:div>
    <w:div w:id="214495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ace.Balode@mk.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L.Ruškule</Vad_x012b_t_x0101_js>
    <Kategorija xmlns="2e5bb04e-596e-45bd-9003-43ca78b1ba16">Anotācija</Kategorija>
    <DKP xmlns="2e5bb04e-596e-45bd-9003-43ca78b1ba16">12</DK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17C0365FDA3237408C10BF7E5E49454A" ma:contentTypeVersion="5" ma:contentTypeDescription="Izveidot jaunu dokumentu." ma:contentTypeScope="" ma:versionID="98740496d29cb6b21c0987a64f47c0cf">
  <xsd:schema xmlns:xsd="http://www.w3.org/2001/XMLSchema" xmlns:p="http://schemas.microsoft.com/office/2006/metadata/properties" xmlns:ns1="2e5bb04e-596e-45bd-9003-43ca78b1ba16" targetNamespace="http://schemas.microsoft.com/office/2006/metadata/properties" ma:root="true" ma:fieldsID="a7a4cd7a1a4e1337807e99d9572c92d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C21BC0C6-5826-4222-BA60-BC921D0FA295}"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C66FB-5F34-4422-B311-54C1CF655C7F}">
  <ds:schemaRefs>
    <ds:schemaRef ds:uri="http://www.w3.org/XML/1998/namespace"/>
    <ds:schemaRef ds:uri="http://schemas.microsoft.com/office/2006/metadata/properties"/>
    <ds:schemaRef ds:uri="http://schemas.openxmlformats.org/package/2006/metadata/core-properties"/>
    <ds:schemaRef ds:uri="http://purl.org/dc/terms/"/>
    <ds:schemaRef ds:uri="http://purl.org/dc/dcmitype/"/>
    <ds:schemaRef ds:uri="http://schemas.microsoft.com/office/2006/documentManagement/types"/>
    <ds:schemaRef ds:uri="2e5bb04e-596e-45bd-9003-43ca78b1ba16"/>
    <ds:schemaRef ds:uri="http://purl.org/dc/elements/1.1/"/>
  </ds:schemaRefs>
</ds:datastoreItem>
</file>

<file path=customXml/itemProps2.xml><?xml version="1.0" encoding="utf-8"?>
<ds:datastoreItem xmlns:ds="http://schemas.openxmlformats.org/officeDocument/2006/customXml" ds:itemID="{845DBF74-7919-4B71-A43B-DB2817F10B5D}">
  <ds:schemaRefs>
    <ds:schemaRef ds:uri="http://schemas.microsoft.com/sharepoint/v3/contenttype/forms"/>
  </ds:schemaRefs>
</ds:datastoreItem>
</file>

<file path=customXml/itemProps3.xml><?xml version="1.0" encoding="utf-8"?>
<ds:datastoreItem xmlns:ds="http://schemas.openxmlformats.org/officeDocument/2006/customXml" ds:itemID="{A92F6E74-1375-4EAF-8B01-A30BC1459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C88CA5B-6445-4288-B745-117AD1915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6</Pages>
  <Words>7868</Words>
  <Characters>4485</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MK noteikumu projekta „Grozījumi Ministru kabineta 2010.gada 21.jūnija noteikumos Nr.541 „Noteikumi par valsts un pašvaldību institūciju amatpersonu un darbinieku atlīdzības uzskaites sistēmu”” sākotnējās ietekmes novērtējuma ziņojums (anotācija)</vt:lpstr>
    </vt:vector>
  </TitlesOfParts>
  <Company>fm</Company>
  <LinksUpToDate>false</LinksUpToDate>
  <CharactersWithSpaces>12329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2010.gada 21.jūnija noteikumos Nr.541 „Noteikumi par valsts un pašvaldību institūciju amatpersonu un darbinieku atlīdzības uzskaites sistēmu”” sākotnējās ietekmes novērtējuma ziņojums (anotācija)</dc:title>
  <dc:subject>Anotācija</dc:subject>
  <dc:creator>I.Artemjeva</dc:creator>
  <dc:description>t.67083979 Ginta Goldmane ginta.goldmane@fm.gov.lv</dc:description>
  <cp:lastModifiedBy>Sandra Liniņa</cp:lastModifiedBy>
  <cp:revision>9</cp:revision>
  <cp:lastPrinted>2017-11-07T11:41:00Z</cp:lastPrinted>
  <dcterms:created xsi:type="dcterms:W3CDTF">2017-10-24T10:55:00Z</dcterms:created>
  <dcterms:modified xsi:type="dcterms:W3CDTF">2017-11-07T11:41:00Z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0x01010017C0365FDA3237408C10BF7E5E49454A</vt:lpwstr>
  </property>
</Properties>
</file>